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837" w:rsidRPr="00042E1F" w:rsidRDefault="00673FD4" w:rsidP="00F87837">
      <w:pPr>
        <w:spacing w:after="120" w:line="360" w:lineRule="auto"/>
        <w:jc w:val="center"/>
        <w:rPr>
          <w:rFonts w:ascii="Times New Roman" w:hAnsi="Times New Roman" w:cs="Times New Roman"/>
          <w:b/>
          <w:sz w:val="24"/>
          <w:szCs w:val="24"/>
          <w:lang w:val="fr-FR"/>
        </w:rPr>
      </w:pPr>
      <w:r>
        <w:rPr>
          <w:rFonts w:ascii="Times New Roman" w:hAnsi="Times New Roman" w:cs="Times New Roman"/>
          <w:b/>
          <w:sz w:val="24"/>
          <w:lang w:val="fr-FR" w:bidi="ru-RU"/>
        </w:rPr>
        <w:t xml:space="preserve">Document </w:t>
      </w:r>
      <w:r w:rsidR="00B14137" w:rsidRPr="00042E1F">
        <w:rPr>
          <w:rFonts w:ascii="Times New Roman" w:hAnsi="Times New Roman" w:cs="Times New Roman"/>
          <w:b/>
          <w:sz w:val="24"/>
          <w:lang w:val="fr-FR" w:bidi="ru-RU"/>
        </w:rPr>
        <w:t xml:space="preserve">principal </w:t>
      </w:r>
      <w:r>
        <w:rPr>
          <w:rFonts w:ascii="Times New Roman" w:hAnsi="Times New Roman" w:cs="Times New Roman"/>
          <w:b/>
          <w:sz w:val="24"/>
          <w:lang w:val="fr-FR" w:bidi="ru-RU"/>
        </w:rPr>
        <w:t xml:space="preserve">relatif au thème </w:t>
      </w:r>
      <w:r w:rsidR="00F87837" w:rsidRPr="00042E1F">
        <w:rPr>
          <w:rFonts w:ascii="Times New Roman" w:hAnsi="Times New Roman" w:cs="Times New Roman"/>
          <w:b/>
          <w:sz w:val="24"/>
          <w:lang w:val="fr-FR" w:bidi="ru-RU"/>
        </w:rPr>
        <w:t xml:space="preserve">II </w:t>
      </w:r>
      <w:r w:rsidR="00B14137" w:rsidRPr="00042E1F">
        <w:rPr>
          <w:rFonts w:ascii="Times New Roman" w:hAnsi="Times New Roman" w:cs="Times New Roman"/>
          <w:b/>
          <w:sz w:val="24"/>
          <w:lang w:val="fr-FR" w:bidi="ru-RU"/>
        </w:rPr>
        <w:t xml:space="preserve">du </w:t>
      </w:r>
      <w:r w:rsidR="00F87837" w:rsidRPr="00042E1F">
        <w:rPr>
          <w:rFonts w:ascii="Times New Roman" w:hAnsi="Times New Roman" w:cs="Times New Roman"/>
          <w:b/>
          <w:sz w:val="24"/>
          <w:lang w:val="fr-FR" w:bidi="ru-RU"/>
        </w:rPr>
        <w:t>XXIII</w:t>
      </w:r>
      <w:r>
        <w:rPr>
          <w:rFonts w:ascii="Times New Roman" w:hAnsi="Times New Roman" w:cs="Times New Roman"/>
          <w:b/>
          <w:sz w:val="24"/>
          <w:lang w:val="fr-FR" w:bidi="ru-RU"/>
        </w:rPr>
        <w:t>e</w:t>
      </w:r>
      <w:r w:rsidR="00F87837" w:rsidRPr="00042E1F">
        <w:rPr>
          <w:rFonts w:ascii="Times New Roman" w:hAnsi="Times New Roman" w:cs="Times New Roman"/>
          <w:b/>
          <w:sz w:val="24"/>
          <w:lang w:val="fr-FR" w:bidi="ru-RU"/>
        </w:rPr>
        <w:t xml:space="preserve"> </w:t>
      </w:r>
      <w:r w:rsidR="00B14137" w:rsidRPr="00042E1F">
        <w:rPr>
          <w:rFonts w:ascii="Times New Roman" w:hAnsi="Times New Roman" w:cs="Times New Roman"/>
          <w:b/>
          <w:sz w:val="24"/>
          <w:lang w:val="fr-FR" w:bidi="ru-RU"/>
        </w:rPr>
        <w:t>Congrès</w:t>
      </w:r>
      <w:r w:rsidR="00F87837" w:rsidRPr="00042E1F">
        <w:rPr>
          <w:rFonts w:ascii="Times New Roman" w:hAnsi="Times New Roman" w:cs="Times New Roman"/>
          <w:b/>
          <w:sz w:val="24"/>
          <w:lang w:val="fr-FR" w:bidi="ru-RU"/>
        </w:rPr>
        <w:t xml:space="preserve"> </w:t>
      </w:r>
      <w:r w:rsidR="00B14137" w:rsidRPr="00042E1F">
        <w:rPr>
          <w:rFonts w:ascii="Times New Roman" w:hAnsi="Times New Roman" w:cs="Times New Roman"/>
          <w:b/>
          <w:sz w:val="24"/>
          <w:lang w:val="fr-FR" w:bidi="ru-RU"/>
        </w:rPr>
        <w:t>de l</w:t>
      </w:r>
      <w:r w:rsidR="001425F3">
        <w:rPr>
          <w:rFonts w:ascii="Times New Roman" w:hAnsi="Times New Roman" w:cs="Times New Roman"/>
          <w:b/>
          <w:sz w:val="24"/>
          <w:lang w:val="fr-FR" w:bidi="ru-RU"/>
        </w:rPr>
        <w:t>’</w:t>
      </w:r>
      <w:r w:rsidR="00B14137" w:rsidRPr="00042E1F">
        <w:rPr>
          <w:rFonts w:ascii="Times New Roman" w:hAnsi="Times New Roman" w:cs="Times New Roman"/>
          <w:b/>
          <w:sz w:val="24"/>
          <w:lang w:val="fr-FR" w:bidi="ru-RU"/>
        </w:rPr>
        <w:t>INTOSAI</w:t>
      </w:r>
      <w:r w:rsidR="00F87837" w:rsidRPr="00042E1F">
        <w:rPr>
          <w:rFonts w:ascii="Times New Roman" w:hAnsi="Times New Roman" w:cs="Times New Roman"/>
          <w:b/>
          <w:sz w:val="24"/>
          <w:lang w:val="fr-FR" w:bidi="ru-RU"/>
        </w:rPr>
        <w:t xml:space="preserve"> </w:t>
      </w:r>
    </w:p>
    <w:p w:rsidR="00F87837" w:rsidRPr="00042E1F" w:rsidRDefault="00F87837" w:rsidP="00673FD4">
      <w:pPr>
        <w:spacing w:after="120" w:line="360" w:lineRule="auto"/>
        <w:jc w:val="center"/>
        <w:rPr>
          <w:rFonts w:ascii="Times New Roman" w:hAnsi="Times New Roman" w:cs="Times New Roman"/>
          <w:b/>
          <w:sz w:val="24"/>
          <w:szCs w:val="24"/>
          <w:lang w:val="fr-FR"/>
        </w:rPr>
      </w:pPr>
      <w:r w:rsidRPr="00042E1F">
        <w:rPr>
          <w:rFonts w:ascii="Times New Roman" w:hAnsi="Times New Roman" w:cs="Times New Roman"/>
          <w:b/>
          <w:sz w:val="24"/>
          <w:lang w:val="fr-FR" w:bidi="ru-RU"/>
        </w:rPr>
        <w:t>«</w:t>
      </w:r>
      <w:r w:rsidR="00B14137" w:rsidRPr="00042E1F">
        <w:rPr>
          <w:rFonts w:ascii="Times New Roman" w:hAnsi="Times New Roman" w:cs="Times New Roman"/>
          <w:b/>
          <w:sz w:val="24"/>
          <w:lang w:val="fr-FR" w:bidi="ru-RU"/>
        </w:rPr>
        <w:t> LE RÔLE</w:t>
      </w:r>
      <w:r w:rsidR="00673FD4">
        <w:rPr>
          <w:rFonts w:ascii="Times New Roman" w:hAnsi="Times New Roman" w:cs="Times New Roman"/>
          <w:b/>
          <w:sz w:val="24"/>
          <w:lang w:val="fr-FR" w:bidi="ru-RU"/>
        </w:rPr>
        <w:t xml:space="preserve"> QUE JOUENT LES </w:t>
      </w:r>
      <w:r w:rsidR="000C2C52" w:rsidRPr="00042E1F">
        <w:rPr>
          <w:rFonts w:ascii="Times New Roman" w:hAnsi="Times New Roman" w:cs="Times New Roman"/>
          <w:b/>
          <w:sz w:val="24"/>
          <w:lang w:val="fr-FR" w:bidi="ru-RU"/>
        </w:rPr>
        <w:t>INSTITUTIONS</w:t>
      </w:r>
      <w:r w:rsidR="00B14137" w:rsidRPr="00042E1F">
        <w:rPr>
          <w:rFonts w:ascii="Times New Roman" w:hAnsi="Times New Roman" w:cs="Times New Roman"/>
          <w:b/>
          <w:sz w:val="24"/>
          <w:lang w:val="fr-FR" w:bidi="ru-RU"/>
        </w:rPr>
        <w:t xml:space="preserve"> </w:t>
      </w:r>
      <w:r w:rsidR="00673FD4">
        <w:rPr>
          <w:rFonts w:ascii="Times New Roman" w:hAnsi="Times New Roman" w:cs="Times New Roman"/>
          <w:b/>
          <w:sz w:val="24"/>
          <w:lang w:val="fr-FR" w:bidi="ru-RU"/>
        </w:rPr>
        <w:t xml:space="preserve">SUPÉRIEURES DE CONTRÔLE DES FINANCES PUBLIQUES </w:t>
      </w:r>
      <w:r w:rsidR="00B14137" w:rsidRPr="00042E1F">
        <w:rPr>
          <w:rFonts w:ascii="Times New Roman" w:hAnsi="Times New Roman" w:cs="Times New Roman"/>
          <w:b/>
          <w:sz w:val="24"/>
          <w:lang w:val="fr-FR" w:bidi="ru-RU"/>
        </w:rPr>
        <w:t>DANS LA RÉALISATION DES PRIORITÉS ET OBJECTIFS NATIONAUX </w:t>
      </w:r>
      <w:r w:rsidRPr="00042E1F">
        <w:rPr>
          <w:rFonts w:ascii="Times New Roman" w:hAnsi="Times New Roman" w:cs="Times New Roman"/>
          <w:b/>
          <w:sz w:val="24"/>
          <w:lang w:val="fr-FR" w:bidi="ru-RU"/>
        </w:rPr>
        <w:t>»</w:t>
      </w:r>
    </w:p>
    <w:p w:rsidR="00F87837" w:rsidRPr="00042E1F" w:rsidRDefault="00B14137" w:rsidP="00F87837">
      <w:pPr>
        <w:spacing w:after="120" w:line="360" w:lineRule="auto"/>
        <w:jc w:val="center"/>
        <w:rPr>
          <w:rFonts w:ascii="Times New Roman" w:hAnsi="Times New Roman" w:cs="Times New Roman"/>
          <w:b/>
          <w:sz w:val="24"/>
          <w:szCs w:val="24"/>
          <w:lang w:val="fr-FR"/>
        </w:rPr>
      </w:pPr>
      <w:r w:rsidRPr="00042E1F">
        <w:rPr>
          <w:rFonts w:ascii="Times New Roman" w:hAnsi="Times New Roman" w:cs="Times New Roman"/>
          <w:b/>
          <w:sz w:val="24"/>
          <w:lang w:val="fr-FR" w:bidi="ru-RU"/>
        </w:rPr>
        <w:t>Projet</w:t>
      </w:r>
      <w:r w:rsidR="00F87837" w:rsidRPr="00042E1F">
        <w:rPr>
          <w:rFonts w:ascii="Times New Roman" w:hAnsi="Times New Roman" w:cs="Times New Roman"/>
          <w:b/>
          <w:sz w:val="24"/>
          <w:lang w:val="fr-FR" w:bidi="ru-RU"/>
        </w:rPr>
        <w:t xml:space="preserve"> </w:t>
      </w:r>
      <w:r w:rsidRPr="00042E1F">
        <w:rPr>
          <w:rFonts w:ascii="Times New Roman" w:hAnsi="Times New Roman" w:cs="Times New Roman"/>
          <w:b/>
          <w:sz w:val="24"/>
          <w:lang w:val="fr-FR" w:bidi="ru-RU"/>
        </w:rPr>
        <w:t>n</w:t>
      </w:r>
      <w:r w:rsidRPr="00042E1F">
        <w:rPr>
          <w:rFonts w:ascii="Times New Roman" w:hAnsi="Times New Roman" w:cs="Times New Roman"/>
          <w:b/>
          <w:sz w:val="24"/>
          <w:vertAlign w:val="superscript"/>
          <w:lang w:val="fr-FR" w:bidi="ru-RU"/>
        </w:rPr>
        <w:t>o</w:t>
      </w:r>
      <w:r w:rsidRPr="00042E1F">
        <w:rPr>
          <w:rFonts w:ascii="Times New Roman" w:hAnsi="Times New Roman" w:cs="Times New Roman"/>
          <w:b/>
          <w:sz w:val="24"/>
          <w:lang w:val="fr-FR" w:bidi="ru-RU"/>
        </w:rPr>
        <w:t xml:space="preserve"> </w:t>
      </w:r>
      <w:r w:rsidR="00F87837" w:rsidRPr="00042E1F">
        <w:rPr>
          <w:rFonts w:ascii="Times New Roman" w:hAnsi="Times New Roman" w:cs="Times New Roman"/>
          <w:b/>
          <w:sz w:val="24"/>
          <w:lang w:val="fr-FR" w:bidi="ru-RU"/>
        </w:rPr>
        <w:t>3</w:t>
      </w:r>
    </w:p>
    <w:p w:rsidR="002E2744" w:rsidRPr="0004007A" w:rsidRDefault="00673FD4" w:rsidP="001722C6">
      <w:pPr>
        <w:pStyle w:val="1"/>
        <w:spacing w:after="480" w:line="240" w:lineRule="auto"/>
        <w:ind w:left="567" w:hanging="567"/>
        <w:rPr>
          <w:strike/>
          <w:lang w:val="fr-FR"/>
        </w:rPr>
      </w:pPr>
      <w:r w:rsidRPr="0004007A">
        <w:rPr>
          <w:lang w:val="fr-FR"/>
        </w:rPr>
        <w:t>Généralités</w:t>
      </w:r>
    </w:p>
    <w:p w:rsidR="00F87837" w:rsidRPr="00702DC5" w:rsidRDefault="00B14137" w:rsidP="00702DC5">
      <w:pPr>
        <w:pStyle w:val="a3"/>
        <w:numPr>
          <w:ilvl w:val="1"/>
          <w:numId w:val="3"/>
        </w:numPr>
        <w:spacing w:line="276" w:lineRule="auto"/>
        <w:ind w:left="567" w:hanging="567"/>
        <w:rPr>
          <w:lang w:val="fr-FR" w:bidi="ru-RU"/>
        </w:rPr>
      </w:pPr>
      <w:r w:rsidRPr="00042E1F">
        <w:rPr>
          <w:lang w:val="fr-FR" w:bidi="ru-RU"/>
        </w:rPr>
        <w:t>Conformément à la mission</w:t>
      </w:r>
      <w:r w:rsidR="00F87837" w:rsidRPr="00042E1F">
        <w:rPr>
          <w:lang w:val="fr-FR" w:bidi="ru-RU"/>
        </w:rPr>
        <w:t xml:space="preserve"> </w:t>
      </w:r>
      <w:r w:rsidRPr="00042E1F">
        <w:rPr>
          <w:lang w:val="fr-FR" w:bidi="ru-RU"/>
        </w:rPr>
        <w:t>de l</w:t>
      </w:r>
      <w:r w:rsidR="001425F3">
        <w:rPr>
          <w:lang w:val="fr-FR" w:bidi="ru-RU"/>
        </w:rPr>
        <w:t>’</w:t>
      </w:r>
      <w:r w:rsidRPr="00042E1F">
        <w:rPr>
          <w:lang w:val="fr-FR" w:bidi="ru-RU"/>
        </w:rPr>
        <w:t>INTOSAI</w:t>
      </w:r>
      <w:r w:rsidR="00F87837" w:rsidRPr="00042E1F">
        <w:rPr>
          <w:lang w:val="fr-FR" w:bidi="ru-RU"/>
        </w:rPr>
        <w:t xml:space="preserve"> </w:t>
      </w:r>
      <w:r w:rsidRPr="00042E1F">
        <w:rPr>
          <w:lang w:val="fr-FR" w:bidi="ru-RU"/>
        </w:rPr>
        <w:t>visant à l</w:t>
      </w:r>
      <w:r w:rsidR="001425F3">
        <w:rPr>
          <w:lang w:val="fr-FR" w:bidi="ru-RU"/>
        </w:rPr>
        <w:t>’</w:t>
      </w:r>
      <w:r w:rsidRPr="00042E1F">
        <w:rPr>
          <w:lang w:val="fr-FR" w:bidi="ru-RU"/>
        </w:rPr>
        <w:t xml:space="preserve">amélioration continue de </w:t>
      </w:r>
      <w:r w:rsidR="00673FD4">
        <w:rPr>
          <w:lang w:val="fr-FR" w:bidi="ru-RU"/>
        </w:rPr>
        <w:t>l</w:t>
      </w:r>
      <w:r w:rsidR="00702DC5">
        <w:rPr>
          <w:lang w:val="fr-FR" w:bidi="ru-RU"/>
        </w:rPr>
        <w:t xml:space="preserve">’audit gouvernemental et du renforcement des capacités des ISC </w:t>
      </w:r>
      <w:r w:rsidR="0004007A" w:rsidRPr="005E2018">
        <w:rPr>
          <w:lang w:val="fr-FR" w:bidi="ru-RU"/>
        </w:rPr>
        <w:t>(</w:t>
      </w:r>
      <w:r w:rsidR="00673FD4" w:rsidRPr="0004007A">
        <w:rPr>
          <w:lang w:val="fr-FR" w:bidi="ru-RU"/>
        </w:rPr>
        <w:t>ISC</w:t>
      </w:r>
      <w:r w:rsidR="00F87837" w:rsidRPr="00042E1F">
        <w:rPr>
          <w:lang w:val="fr-FR" w:bidi="ru-RU"/>
        </w:rPr>
        <w:t xml:space="preserve">), </w:t>
      </w:r>
      <w:r w:rsidRPr="00042E1F">
        <w:rPr>
          <w:lang w:val="fr-FR" w:bidi="ru-RU"/>
        </w:rPr>
        <w:t xml:space="preserve">le </w:t>
      </w:r>
      <w:r w:rsidR="00702DC5">
        <w:rPr>
          <w:lang w:val="fr-FR" w:bidi="ru-RU"/>
        </w:rPr>
        <w:t>thème</w:t>
      </w:r>
      <w:r w:rsidR="00F87837" w:rsidRPr="00042E1F">
        <w:rPr>
          <w:lang w:val="fr-FR" w:bidi="ru-RU"/>
        </w:rPr>
        <w:t xml:space="preserve"> II </w:t>
      </w:r>
      <w:r w:rsidR="00702DC5">
        <w:rPr>
          <w:lang w:val="fr-FR" w:bidi="ru-RU"/>
        </w:rPr>
        <w:t xml:space="preserve">intitulé </w:t>
      </w:r>
      <w:r w:rsidR="00F87837" w:rsidRPr="00042E1F">
        <w:rPr>
          <w:lang w:val="fr-FR" w:bidi="ru-RU"/>
        </w:rPr>
        <w:t>«</w:t>
      </w:r>
      <w:r w:rsidRPr="00042E1F">
        <w:rPr>
          <w:lang w:val="fr-FR" w:bidi="ru-RU"/>
        </w:rPr>
        <w:t xml:space="preserve">Le </w:t>
      </w:r>
      <w:r w:rsidR="00673FD4">
        <w:rPr>
          <w:lang w:val="fr-FR" w:bidi="ru-RU"/>
        </w:rPr>
        <w:t>r</w:t>
      </w:r>
      <w:r w:rsidRPr="00042E1F">
        <w:rPr>
          <w:lang w:val="fr-FR" w:bidi="ru-RU"/>
        </w:rPr>
        <w:t xml:space="preserve">ôle </w:t>
      </w:r>
      <w:r w:rsidR="00673FD4">
        <w:rPr>
          <w:lang w:val="fr-FR" w:bidi="ru-RU"/>
        </w:rPr>
        <w:t xml:space="preserve">que jouent les </w:t>
      </w:r>
      <w:r w:rsidR="000C2C52" w:rsidRPr="00042E1F">
        <w:rPr>
          <w:lang w:val="fr-FR" w:bidi="ru-RU"/>
        </w:rPr>
        <w:t>institutions suprêmes</w:t>
      </w:r>
      <w:r w:rsidRPr="00042E1F">
        <w:rPr>
          <w:lang w:val="fr-FR" w:bidi="ru-RU"/>
        </w:rPr>
        <w:t xml:space="preserve"> d</w:t>
      </w:r>
      <w:r w:rsidR="001425F3">
        <w:rPr>
          <w:lang w:val="fr-FR" w:bidi="ru-RU"/>
        </w:rPr>
        <w:t>’</w:t>
      </w:r>
      <w:r w:rsidRPr="00042E1F">
        <w:rPr>
          <w:lang w:val="fr-FR" w:bidi="ru-RU"/>
        </w:rPr>
        <w:t>audit dans la réalisation des p</w:t>
      </w:r>
      <w:r w:rsidR="0004007A">
        <w:rPr>
          <w:lang w:val="fr-FR" w:bidi="ru-RU"/>
        </w:rPr>
        <w:t>riorités et objectifs nationaux</w:t>
      </w:r>
      <w:r w:rsidR="00F87837" w:rsidRPr="00042E1F">
        <w:rPr>
          <w:lang w:val="fr-FR" w:bidi="ru-RU"/>
        </w:rPr>
        <w:t xml:space="preserve">» </w:t>
      </w:r>
      <w:r w:rsidRPr="00042E1F">
        <w:rPr>
          <w:lang w:val="fr-FR" w:bidi="ru-RU"/>
        </w:rPr>
        <w:t xml:space="preserve">du </w:t>
      </w:r>
      <w:r w:rsidR="00F87837" w:rsidRPr="00042E1F">
        <w:rPr>
          <w:lang w:val="fr-FR" w:bidi="ru-RU"/>
        </w:rPr>
        <w:t>XXIII</w:t>
      </w:r>
      <w:r w:rsidR="00702DC5">
        <w:rPr>
          <w:lang w:val="fr-FR" w:bidi="ru-RU"/>
        </w:rPr>
        <w:t>e</w:t>
      </w:r>
      <w:r w:rsidR="00F87837" w:rsidRPr="00042E1F">
        <w:rPr>
          <w:lang w:val="fr-FR" w:bidi="ru-RU"/>
        </w:rPr>
        <w:t xml:space="preserve"> </w:t>
      </w:r>
      <w:r w:rsidRPr="00042E1F">
        <w:rPr>
          <w:lang w:val="fr-FR" w:bidi="ru-RU"/>
        </w:rPr>
        <w:t>Congrès de l</w:t>
      </w:r>
      <w:r w:rsidR="001425F3">
        <w:rPr>
          <w:lang w:val="fr-FR" w:bidi="ru-RU"/>
        </w:rPr>
        <w:t>’</w:t>
      </w:r>
      <w:r w:rsidRPr="00042E1F">
        <w:rPr>
          <w:lang w:val="fr-FR" w:bidi="ru-RU"/>
        </w:rPr>
        <w:t>INTOSAI</w:t>
      </w:r>
      <w:r w:rsidR="00F87837" w:rsidRPr="00042E1F">
        <w:rPr>
          <w:lang w:val="fr-FR" w:bidi="ru-RU"/>
        </w:rPr>
        <w:t xml:space="preserve"> </w:t>
      </w:r>
      <w:r w:rsidRPr="00042E1F">
        <w:rPr>
          <w:lang w:val="fr-FR" w:bidi="ru-RU"/>
        </w:rPr>
        <w:t xml:space="preserve">développe les discussions des </w:t>
      </w:r>
      <w:r w:rsidR="00702DC5">
        <w:rPr>
          <w:lang w:val="fr-FR" w:bidi="ru-RU"/>
        </w:rPr>
        <w:t>C</w:t>
      </w:r>
      <w:r w:rsidRPr="00042E1F">
        <w:rPr>
          <w:lang w:val="fr-FR" w:bidi="ru-RU"/>
        </w:rPr>
        <w:t>ongrès précédents</w:t>
      </w:r>
      <w:r w:rsidR="00F87837" w:rsidRPr="00042E1F">
        <w:rPr>
          <w:lang w:val="fr-FR" w:bidi="ru-RU"/>
        </w:rPr>
        <w:t xml:space="preserve"> </w:t>
      </w:r>
      <w:r w:rsidRPr="00042E1F">
        <w:rPr>
          <w:lang w:val="fr-FR" w:bidi="ru-RU"/>
        </w:rPr>
        <w:t>de l</w:t>
      </w:r>
      <w:r w:rsidR="001425F3">
        <w:rPr>
          <w:lang w:val="fr-FR" w:bidi="ru-RU"/>
        </w:rPr>
        <w:t>’</w:t>
      </w:r>
      <w:r w:rsidRPr="00042E1F">
        <w:rPr>
          <w:lang w:val="fr-FR" w:bidi="ru-RU"/>
        </w:rPr>
        <w:t>INTOSAI</w:t>
      </w:r>
      <w:r w:rsidR="00F87837" w:rsidRPr="00042E1F">
        <w:rPr>
          <w:rStyle w:val="af1"/>
          <w:lang w:val="fr-FR" w:bidi="ru-RU"/>
        </w:rPr>
        <w:footnoteReference w:id="2"/>
      </w:r>
      <w:r w:rsidR="00F87837" w:rsidRPr="00042E1F">
        <w:rPr>
          <w:lang w:val="fr-FR" w:bidi="ru-RU"/>
        </w:rPr>
        <w:t xml:space="preserve">. </w:t>
      </w:r>
      <w:r w:rsidR="00702DC5">
        <w:rPr>
          <w:lang w:val="fr-FR" w:bidi="ru-RU"/>
        </w:rPr>
        <w:t>L’</w:t>
      </w:r>
      <w:r w:rsidR="00DD4314" w:rsidRPr="00042E1F">
        <w:rPr>
          <w:lang w:val="fr-FR" w:bidi="ru-RU"/>
        </w:rPr>
        <w:t>objectif est d</w:t>
      </w:r>
      <w:r w:rsidR="001425F3">
        <w:rPr>
          <w:lang w:val="fr-FR" w:bidi="ru-RU"/>
        </w:rPr>
        <w:t>’</w:t>
      </w:r>
      <w:r w:rsidR="00702DC5">
        <w:rPr>
          <w:lang w:val="fr-FR" w:bidi="ru-RU"/>
        </w:rPr>
        <w:t>examiner ce dont les ISC ont besoin afin d’évoluer sur le plan stratégique, assurant la pertinence continue des ISC comme</w:t>
      </w:r>
      <w:r w:rsidR="0004007A" w:rsidRPr="005E2018">
        <w:rPr>
          <w:lang w:val="fr-FR" w:bidi="ru-RU"/>
        </w:rPr>
        <w:t xml:space="preserve"> </w:t>
      </w:r>
      <w:r w:rsidR="00DD4314" w:rsidRPr="00702DC5">
        <w:rPr>
          <w:lang w:val="fr-FR" w:bidi="ru-RU"/>
        </w:rPr>
        <w:t>institutions</w:t>
      </w:r>
      <w:r w:rsidR="00F87837" w:rsidRPr="00702DC5">
        <w:rPr>
          <w:lang w:val="fr-FR" w:bidi="ru-RU"/>
        </w:rPr>
        <w:t xml:space="preserve"> </w:t>
      </w:r>
      <w:r w:rsidR="00702DC5">
        <w:rPr>
          <w:lang w:val="fr-FR" w:bidi="ru-RU"/>
        </w:rPr>
        <w:t>d’</w:t>
      </w:r>
      <w:r w:rsidR="00DD4314" w:rsidRPr="00702DC5">
        <w:rPr>
          <w:lang w:val="fr-FR" w:bidi="ru-RU"/>
        </w:rPr>
        <w:t>une grande valeur pour la société</w:t>
      </w:r>
      <w:r w:rsidR="00F87837" w:rsidRPr="00042E1F">
        <w:rPr>
          <w:rStyle w:val="af1"/>
          <w:lang w:val="fr-FR" w:bidi="ru-RU"/>
        </w:rPr>
        <w:footnoteReference w:id="3"/>
      </w:r>
      <w:r w:rsidR="00F87837" w:rsidRPr="0004007A">
        <w:rPr>
          <w:lang w:val="fr-FR" w:bidi="ru-RU"/>
        </w:rPr>
        <w:t xml:space="preserve">. </w:t>
      </w:r>
    </w:p>
    <w:p w:rsidR="006F10AD" w:rsidRPr="00BF2178" w:rsidRDefault="00DE273B" w:rsidP="00BF2178">
      <w:pPr>
        <w:pStyle w:val="a3"/>
        <w:numPr>
          <w:ilvl w:val="1"/>
          <w:numId w:val="3"/>
        </w:numPr>
        <w:spacing w:line="276" w:lineRule="auto"/>
        <w:ind w:left="567" w:hanging="567"/>
        <w:rPr>
          <w:lang w:val="fr-FR"/>
        </w:rPr>
      </w:pPr>
      <w:r w:rsidRPr="00BF2178">
        <w:rPr>
          <w:lang w:val="fr-FR" w:bidi="ru-RU"/>
        </w:rPr>
        <w:t xml:space="preserve">Les changements fondamentaux intervenus dans le contrôle des finances publiques et dans les politiques publiques à travers le monde ont créé un nouvel environnement dans lequel les ISC opèrent et de nouvelles attentes des parties prenantes à l'égard des ISC. Les changements récents dans l'environnement des </w:t>
      </w:r>
      <w:r w:rsidR="0004007A">
        <w:rPr>
          <w:lang w:val="fr-FR" w:bidi="ru-RU"/>
        </w:rPr>
        <w:t>ISC sont notamment les suivants</w:t>
      </w:r>
      <w:r w:rsidRPr="00BF2178">
        <w:rPr>
          <w:lang w:val="fr-FR" w:bidi="ru-RU"/>
        </w:rPr>
        <w:t xml:space="preserve">: (a) l'adoption par tous les pays des ODD des Nations Unies ; (b) la révolution des données ; (c) l'adoption de l'IFPP par l'INTOSAI, la prise de position de l'INTOSAI de normes faisant autorité en matière d'audit ; (d) les attentes et obligations découlant de l'ISSAI-P 12. Les circonstances modernes exigent une meilleure qualité du travail d'audit, de nouvelles approches de contrôle et exigent des ISC qu'elles repensent et réinventent davantage leur rôle dans les processus de responsabilité gouvernementale. </w:t>
      </w:r>
    </w:p>
    <w:p w:rsidR="002B26F9" w:rsidRPr="00042E1F" w:rsidRDefault="00161FB3" w:rsidP="00EF7595">
      <w:pPr>
        <w:pStyle w:val="a3"/>
        <w:spacing w:line="23" w:lineRule="atLeast"/>
        <w:ind w:left="567"/>
        <w:rPr>
          <w:lang w:val="fr-FR" w:bidi="ru-RU"/>
        </w:rPr>
      </w:pPr>
      <w:r w:rsidRPr="00042E1F">
        <w:rPr>
          <w:lang w:val="fr-FR" w:bidi="ru-RU"/>
        </w:rPr>
        <w:lastRenderedPageBreak/>
        <w:t xml:space="preserve">Pour assurer </w:t>
      </w:r>
      <w:r w:rsidR="00A10DFB" w:rsidRPr="00042E1F">
        <w:rPr>
          <w:lang w:val="fr-FR" w:bidi="ru-RU"/>
        </w:rPr>
        <w:t>les</w:t>
      </w:r>
      <w:r w:rsidRPr="00042E1F">
        <w:rPr>
          <w:lang w:val="fr-FR" w:bidi="ru-RU"/>
        </w:rPr>
        <w:t xml:space="preserve"> valeurs et</w:t>
      </w:r>
      <w:r w:rsidR="00BF2178">
        <w:rPr>
          <w:lang w:val="fr-FR" w:bidi="ru-RU"/>
        </w:rPr>
        <w:t xml:space="preserve"> les bénéfices</w:t>
      </w:r>
      <w:r w:rsidRPr="00042E1F">
        <w:rPr>
          <w:lang w:val="fr-FR" w:bidi="ru-RU"/>
        </w:rPr>
        <w:t>, les</w:t>
      </w:r>
      <w:r w:rsidR="002B26F9" w:rsidRPr="00042E1F">
        <w:rPr>
          <w:lang w:val="fr-FR" w:bidi="ru-RU"/>
        </w:rPr>
        <w:t xml:space="preserve"> </w:t>
      </w:r>
      <w:r w:rsidR="00BF2178">
        <w:rPr>
          <w:lang w:val="fr-FR" w:bidi="ru-RU"/>
        </w:rPr>
        <w:t xml:space="preserve">ISC </w:t>
      </w:r>
      <w:r w:rsidRPr="00042E1F">
        <w:rPr>
          <w:lang w:val="fr-FR" w:bidi="ru-RU"/>
        </w:rPr>
        <w:t>devrai</w:t>
      </w:r>
      <w:r w:rsidR="00BF2178">
        <w:rPr>
          <w:lang w:val="fr-FR" w:bidi="ru-RU"/>
        </w:rPr>
        <w:t>en</w:t>
      </w:r>
      <w:r w:rsidRPr="00042E1F">
        <w:rPr>
          <w:lang w:val="fr-FR" w:bidi="ru-RU"/>
        </w:rPr>
        <w:t xml:space="preserve">t </w:t>
      </w:r>
      <w:r w:rsidR="00BF2178">
        <w:rPr>
          <w:lang w:val="fr-FR" w:bidi="ru-RU"/>
        </w:rPr>
        <w:t xml:space="preserve">être à même de mettre en œuvre </w:t>
      </w:r>
      <w:r w:rsidRPr="00042E1F">
        <w:rPr>
          <w:lang w:val="fr-FR" w:bidi="ru-RU"/>
        </w:rPr>
        <w:t>de nouvelles approches</w:t>
      </w:r>
      <w:r w:rsidR="002B26F9" w:rsidRPr="00042E1F">
        <w:rPr>
          <w:lang w:val="fr-FR" w:bidi="ru-RU"/>
        </w:rPr>
        <w:t xml:space="preserve"> </w:t>
      </w:r>
      <w:r w:rsidRPr="00042E1F">
        <w:rPr>
          <w:lang w:val="fr-FR" w:bidi="ru-RU"/>
        </w:rPr>
        <w:t>et</w:t>
      </w:r>
      <w:r w:rsidR="002B26F9" w:rsidRPr="00042E1F">
        <w:rPr>
          <w:lang w:val="fr-FR" w:bidi="ru-RU"/>
        </w:rPr>
        <w:t xml:space="preserve"> </w:t>
      </w:r>
      <w:r w:rsidR="00BF2178">
        <w:rPr>
          <w:lang w:val="fr-FR" w:bidi="ru-RU"/>
        </w:rPr>
        <w:t xml:space="preserve">saisir </w:t>
      </w:r>
      <w:r w:rsidRPr="00042E1F">
        <w:rPr>
          <w:lang w:val="fr-FR" w:bidi="ru-RU"/>
        </w:rPr>
        <w:t xml:space="preserve">les opportunités </w:t>
      </w:r>
      <w:r w:rsidR="00BF2178">
        <w:rPr>
          <w:lang w:val="fr-FR" w:bidi="ru-RU"/>
        </w:rPr>
        <w:t xml:space="preserve">afin de relever les </w:t>
      </w:r>
      <w:r w:rsidRPr="00042E1F">
        <w:rPr>
          <w:lang w:val="fr-FR" w:bidi="ru-RU"/>
        </w:rPr>
        <w:t>défis</w:t>
      </w:r>
      <w:r w:rsidR="00BF2178">
        <w:rPr>
          <w:lang w:val="fr-FR" w:bidi="ru-RU"/>
        </w:rPr>
        <w:t xml:space="preserve"> émergents</w:t>
      </w:r>
      <w:r w:rsidR="002B26F9" w:rsidRPr="00042E1F">
        <w:rPr>
          <w:lang w:val="fr-FR" w:bidi="ru-RU"/>
        </w:rPr>
        <w:t xml:space="preserve">. </w:t>
      </w:r>
      <w:r w:rsidRPr="00042E1F">
        <w:rPr>
          <w:lang w:val="fr-FR" w:bidi="ru-RU"/>
        </w:rPr>
        <w:t xml:space="preserve">Les </w:t>
      </w:r>
      <w:r w:rsidR="00BF2178">
        <w:rPr>
          <w:lang w:val="fr-FR" w:bidi="ru-RU"/>
        </w:rPr>
        <w:t xml:space="preserve">ISC doivent </w:t>
      </w:r>
      <w:r w:rsidR="00BF2178" w:rsidRPr="00BF2178">
        <w:rPr>
          <w:lang w:val="fr-FR" w:bidi="ru-RU"/>
        </w:rPr>
        <w:t>répondre au mieux à l'évolution du monde de la gouvernance nationale</w:t>
      </w:r>
      <w:r w:rsidR="00BF2178">
        <w:rPr>
          <w:lang w:val="fr-FR" w:bidi="ru-RU"/>
        </w:rPr>
        <w:t xml:space="preserve"> et, </w:t>
      </w:r>
      <w:r w:rsidR="00BF2178" w:rsidRPr="00BF2178">
        <w:rPr>
          <w:lang w:val="fr-FR" w:bidi="ru-RU"/>
        </w:rPr>
        <w:t xml:space="preserve">ce faisant, définir de nouvelles tâches et de </w:t>
      </w:r>
      <w:r w:rsidR="00A2265E">
        <w:rPr>
          <w:lang w:val="fr-FR" w:bidi="ru-RU"/>
        </w:rPr>
        <w:t>nouvelles frontières à l'avenir</w:t>
      </w:r>
      <w:r w:rsidR="002B26F9" w:rsidRPr="00042E1F">
        <w:rPr>
          <w:lang w:val="fr-FR" w:bidi="ru-RU"/>
        </w:rPr>
        <w:t>.</w:t>
      </w:r>
    </w:p>
    <w:p w:rsidR="002B26F9" w:rsidRPr="005E2018" w:rsidRDefault="00483317" w:rsidP="00EF7595">
      <w:pPr>
        <w:pStyle w:val="a3"/>
        <w:numPr>
          <w:ilvl w:val="1"/>
          <w:numId w:val="3"/>
        </w:numPr>
        <w:spacing w:line="23" w:lineRule="atLeast"/>
        <w:ind w:left="567" w:hanging="567"/>
        <w:rPr>
          <w:lang w:val="fr-FR"/>
        </w:rPr>
      </w:pPr>
      <w:r w:rsidRPr="00F36E82">
        <w:rPr>
          <w:lang w:val="fr-FR"/>
        </w:rPr>
        <w:t>Les ISC pourraient apporter une valeur ajoutée significative non seulement en détectant rétrospectivement les violations et les déficiences, mais aussi en complétant les contrôles financiers, les audits de conformité et de performance par une approche prospective qui permettrait aux ISC d'exploiter tout le potentiel pour inciter les gouvernements à une transparence et une responsabilité accrues et pour assurer l'efficacité de la gouvernance publique et l'économie</w:t>
      </w:r>
      <w:r w:rsidR="00A2265E" w:rsidRPr="00A2265E">
        <w:rPr>
          <w:rStyle w:val="af1"/>
          <w:lang w:val="fr-FR" w:bidi="ru-RU"/>
        </w:rPr>
        <w:footnoteReference w:id="4"/>
      </w:r>
      <w:r w:rsidRPr="00F36E82">
        <w:rPr>
          <w:lang w:val="fr-FR"/>
        </w:rPr>
        <w:t xml:space="preserve">. </w:t>
      </w:r>
      <w:r w:rsidR="00B36DC1" w:rsidRPr="0004007A">
        <w:rPr>
          <w:lang w:val="fr-FR" w:bidi="ru-RU"/>
        </w:rPr>
        <w:t>Le rôle des IS</w:t>
      </w:r>
      <w:r w:rsidR="00E11444">
        <w:rPr>
          <w:lang w:val="ru-RU" w:bidi="ru-RU"/>
        </w:rPr>
        <w:t>С</w:t>
      </w:r>
      <w:r w:rsidR="00B36DC1" w:rsidRPr="0004007A">
        <w:rPr>
          <w:lang w:val="fr-FR" w:bidi="ru-RU"/>
        </w:rPr>
        <w:t xml:space="preserve"> dans la promotion des objectifs nationaux impli</w:t>
      </w:r>
      <w:r w:rsidR="00B36DC1" w:rsidRPr="00483317">
        <w:rPr>
          <w:lang w:val="fr-FR" w:bidi="ru-RU"/>
        </w:rPr>
        <w:t>que également l</w:t>
      </w:r>
      <w:r w:rsidR="001425F3" w:rsidRPr="00483317">
        <w:rPr>
          <w:lang w:val="fr-FR" w:bidi="ru-RU"/>
        </w:rPr>
        <w:t>’</w:t>
      </w:r>
      <w:r w:rsidR="00B36DC1" w:rsidRPr="00483317">
        <w:rPr>
          <w:lang w:val="fr-FR" w:bidi="ru-RU"/>
        </w:rPr>
        <w:t xml:space="preserve">identification </w:t>
      </w:r>
      <w:r w:rsidR="00A10DFB" w:rsidRPr="00483317">
        <w:rPr>
          <w:lang w:val="fr-FR" w:bidi="ru-RU"/>
        </w:rPr>
        <w:t>d</w:t>
      </w:r>
      <w:r w:rsidR="00B36DC1" w:rsidRPr="00483317">
        <w:rPr>
          <w:lang w:val="fr-FR" w:bidi="ru-RU"/>
        </w:rPr>
        <w:t>es causes de la mauvaise gouvernance</w:t>
      </w:r>
      <w:r w:rsidR="002B26F9" w:rsidRPr="00483317">
        <w:rPr>
          <w:lang w:val="fr-FR" w:bidi="ru-RU"/>
        </w:rPr>
        <w:t xml:space="preserve">, </w:t>
      </w:r>
      <w:r w:rsidR="00B36DC1" w:rsidRPr="00483317">
        <w:rPr>
          <w:lang w:val="fr-FR" w:bidi="ru-RU"/>
        </w:rPr>
        <w:t>la promotion de la bonne gouvernance</w:t>
      </w:r>
      <w:r w:rsidR="002B26F9" w:rsidRPr="00483317">
        <w:rPr>
          <w:lang w:val="fr-FR" w:bidi="ru-RU"/>
        </w:rPr>
        <w:t xml:space="preserve"> </w:t>
      </w:r>
      <w:r w:rsidR="00B36DC1" w:rsidRPr="00483317">
        <w:rPr>
          <w:lang w:val="fr-FR" w:bidi="ru-RU"/>
        </w:rPr>
        <w:t>sur la base d</w:t>
      </w:r>
      <w:r w:rsidR="001425F3" w:rsidRPr="00483317">
        <w:rPr>
          <w:lang w:val="fr-FR" w:bidi="ru-RU"/>
        </w:rPr>
        <w:t>’</w:t>
      </w:r>
      <w:r w:rsidR="00B36DC1" w:rsidRPr="00483317">
        <w:rPr>
          <w:lang w:val="fr-FR" w:bidi="ru-RU"/>
        </w:rPr>
        <w:t>une approche stratégique et intégrée de l</w:t>
      </w:r>
      <w:r w:rsidR="001425F3" w:rsidRPr="00483317">
        <w:rPr>
          <w:lang w:val="fr-FR" w:bidi="ru-RU"/>
        </w:rPr>
        <w:t>’</w:t>
      </w:r>
      <w:r w:rsidR="00A10DFB" w:rsidRPr="00483317">
        <w:rPr>
          <w:lang w:val="fr-FR" w:bidi="ru-RU"/>
        </w:rPr>
        <w:t xml:space="preserve">audit </w:t>
      </w:r>
      <w:r w:rsidR="00A10DFB" w:rsidRPr="00A2265E">
        <w:rPr>
          <w:lang w:val="fr-FR" w:bidi="ru-RU"/>
        </w:rPr>
        <w:t>public</w:t>
      </w:r>
      <w:r w:rsidR="003833FB" w:rsidRPr="00A2265E">
        <w:rPr>
          <w:lang w:val="fr-FR" w:bidi="ru-RU"/>
        </w:rPr>
        <w:t xml:space="preserve"> </w:t>
      </w:r>
      <w:r w:rsidR="00B36DC1" w:rsidRPr="00A2265E">
        <w:rPr>
          <w:lang w:val="fr-FR" w:bidi="ru-RU"/>
        </w:rPr>
        <w:t>et également sur la base des activités de conseil</w:t>
      </w:r>
      <w:r w:rsidR="002B26F9" w:rsidRPr="00A2265E">
        <w:rPr>
          <w:lang w:val="fr-FR" w:bidi="ru-RU"/>
        </w:rPr>
        <w:t xml:space="preserve">. </w:t>
      </w:r>
    </w:p>
    <w:p w:rsidR="007D2B6C" w:rsidRPr="0004007A" w:rsidRDefault="007B1967" w:rsidP="00EF7595">
      <w:pPr>
        <w:pStyle w:val="a3"/>
        <w:numPr>
          <w:ilvl w:val="1"/>
          <w:numId w:val="3"/>
        </w:numPr>
        <w:spacing w:line="23" w:lineRule="atLeast"/>
        <w:ind w:left="567" w:hanging="567"/>
        <w:rPr>
          <w:strike/>
          <w:lang w:val="fr-FR"/>
        </w:rPr>
      </w:pPr>
      <w:r w:rsidRPr="00A2265E">
        <w:rPr>
          <w:lang w:val="fr-FR" w:bidi="ru-RU"/>
        </w:rPr>
        <w:t>Les ISC</w:t>
      </w:r>
      <w:r w:rsidRPr="007B1967">
        <w:rPr>
          <w:lang w:val="fr-FR" w:bidi="ru-RU"/>
        </w:rPr>
        <w:t xml:space="preserve"> doivent, en tenant dûment compte de leur mandat, a) trouver des moyens d'élargir leur champ d'action et leurs plans au-delà de leur mandat de base, à savoir les audits financiers et les audits de conformité, </w:t>
      </w:r>
      <w:r w:rsidR="00250C46">
        <w:rPr>
          <w:lang w:val="fr-FR" w:bidi="ru-RU"/>
        </w:rPr>
        <w:t>en vue d’</w:t>
      </w:r>
      <w:r w:rsidRPr="007B1967">
        <w:rPr>
          <w:lang w:val="fr-FR" w:bidi="ru-RU"/>
        </w:rPr>
        <w:t>inclure une approche stratégique et intégrée des audits</w:t>
      </w:r>
      <w:r w:rsidR="00A2265E" w:rsidRPr="0004007A">
        <w:rPr>
          <w:rStyle w:val="af1"/>
          <w:strike/>
          <w:lang w:val="fr-FR" w:bidi="ru-RU"/>
        </w:rPr>
        <w:footnoteReference w:id="5"/>
      </w:r>
      <w:r w:rsidR="00A2265E" w:rsidRPr="0004007A">
        <w:rPr>
          <w:strike/>
          <w:lang w:val="fr-FR" w:bidi="ru-RU"/>
        </w:rPr>
        <w:t xml:space="preserve"> </w:t>
      </w:r>
      <w:r w:rsidRPr="007B1967">
        <w:rPr>
          <w:lang w:val="fr-FR" w:bidi="ru-RU"/>
        </w:rPr>
        <w:t xml:space="preserve"> et des audits de performance des résultats complexes (plutôt que des programmes et organismes individuels) ; b) compléter la détection des violations en mettant l'accent sur la capacité des gouvernements à relever les défis actuels et émergents dans la réalisation des objectifs nationaux ; c) proposer des activités</w:t>
      </w:r>
      <w:r w:rsidR="003F639B">
        <w:rPr>
          <w:rStyle w:val="af1"/>
          <w:lang w:val="fr-FR" w:bidi="ru-RU"/>
        </w:rPr>
        <w:footnoteReference w:id="6"/>
      </w:r>
      <w:r w:rsidRPr="007B1967">
        <w:rPr>
          <w:lang w:val="fr-FR" w:bidi="ru-RU"/>
        </w:rPr>
        <w:t xml:space="preserve"> de conseil soutenues par </w:t>
      </w:r>
      <w:r w:rsidR="00250C46">
        <w:rPr>
          <w:lang w:val="fr-FR" w:bidi="ru-RU"/>
        </w:rPr>
        <w:t>d</w:t>
      </w:r>
      <w:r w:rsidRPr="007B1967">
        <w:rPr>
          <w:lang w:val="fr-FR" w:bidi="ru-RU"/>
        </w:rPr>
        <w:t xml:space="preserve">es </w:t>
      </w:r>
      <w:r w:rsidR="00250C46">
        <w:rPr>
          <w:lang w:val="fr-FR" w:bidi="ru-RU"/>
        </w:rPr>
        <w:t>analyses</w:t>
      </w:r>
      <w:r w:rsidRPr="007B1967">
        <w:rPr>
          <w:lang w:val="fr-FR" w:bidi="ru-RU"/>
        </w:rPr>
        <w:t xml:space="preserve"> </w:t>
      </w:r>
      <w:r w:rsidR="00250C46">
        <w:rPr>
          <w:lang w:val="fr-FR" w:bidi="ru-RU"/>
        </w:rPr>
        <w:t>pertinentes</w:t>
      </w:r>
      <w:r w:rsidRPr="007B1967">
        <w:rPr>
          <w:lang w:val="fr-FR" w:bidi="ru-RU"/>
        </w:rPr>
        <w:t xml:space="preserve">. Ces activités prennent plus de temps et exigent des compétences et des approches particulières (approche multidisciplinaire, </w:t>
      </w:r>
      <w:r w:rsidR="00250C46">
        <w:rPr>
          <w:lang w:val="fr-FR" w:bidi="ru-RU"/>
        </w:rPr>
        <w:t xml:space="preserve">approche </w:t>
      </w:r>
      <w:r w:rsidRPr="007B1967">
        <w:rPr>
          <w:lang w:val="fr-FR" w:bidi="ru-RU"/>
        </w:rPr>
        <w:t xml:space="preserve">pangouvernementale, </w:t>
      </w:r>
      <w:r w:rsidR="00250C46">
        <w:rPr>
          <w:lang w:val="fr-FR" w:bidi="ru-RU"/>
        </w:rPr>
        <w:t xml:space="preserve">approche globale de la </w:t>
      </w:r>
      <w:r w:rsidRPr="007B1967">
        <w:rPr>
          <w:lang w:val="fr-FR" w:bidi="ru-RU"/>
        </w:rPr>
        <w:t>soci</w:t>
      </w:r>
      <w:r w:rsidR="00250C46">
        <w:rPr>
          <w:lang w:val="fr-FR" w:bidi="ru-RU"/>
        </w:rPr>
        <w:t>été</w:t>
      </w:r>
      <w:r w:rsidRPr="007B1967">
        <w:rPr>
          <w:lang w:val="fr-FR" w:bidi="ru-RU"/>
        </w:rPr>
        <w:t>, etc</w:t>
      </w:r>
      <w:r>
        <w:rPr>
          <w:lang w:val="fr-FR" w:bidi="ru-RU"/>
        </w:rPr>
        <w:t>.</w:t>
      </w:r>
    </w:p>
    <w:p w:rsidR="00EF7595" w:rsidRPr="00EF7595" w:rsidRDefault="007F3EC4" w:rsidP="00EF7595">
      <w:pPr>
        <w:pStyle w:val="a3"/>
        <w:numPr>
          <w:ilvl w:val="1"/>
          <w:numId w:val="3"/>
        </w:numPr>
        <w:spacing w:line="23" w:lineRule="atLeast"/>
        <w:ind w:left="567" w:hanging="567"/>
        <w:rPr>
          <w:strike/>
          <w:lang w:val="fr-FR"/>
        </w:rPr>
      </w:pPr>
      <w:r w:rsidRPr="00EF7595">
        <w:rPr>
          <w:lang w:val="fr-FR"/>
        </w:rPr>
        <w:t>L'amélioration de l'approche stratégique des activités d</w:t>
      </w:r>
      <w:r w:rsidR="00876623" w:rsidRPr="00EF7595">
        <w:rPr>
          <w:lang w:val="fr-FR"/>
        </w:rPr>
        <w:t>’audit</w:t>
      </w:r>
      <w:r w:rsidRPr="00EF7595">
        <w:rPr>
          <w:lang w:val="fr-FR"/>
        </w:rPr>
        <w:t xml:space="preserve"> des ISC contribue à la réalisation des objectifs nationaux :</w:t>
      </w:r>
    </w:p>
    <w:p w:rsidR="00EF7595" w:rsidRPr="00EF7595" w:rsidRDefault="00EF7595" w:rsidP="00EF7595">
      <w:pPr>
        <w:pStyle w:val="a3"/>
        <w:spacing w:line="23" w:lineRule="atLeast"/>
        <w:ind w:left="1134"/>
        <w:rPr>
          <w:strike/>
          <w:lang w:val="fr-FR"/>
        </w:rPr>
      </w:pPr>
      <w:r w:rsidRPr="00EF7595">
        <w:rPr>
          <w:lang w:val="fr-FR"/>
        </w:rPr>
        <w:t xml:space="preserve"> - en adoptant une trousse d'outils de la performance stratégique et pertinente pour enquêter sur l'optimisation des ressources et formuler des recommandations fondées sur le travail d’audit afin d'établir le système de reddition de comptes et de performance élevée dans la nouvelle ère des approches et de la réflexion axées sur les données ;</w:t>
      </w:r>
    </w:p>
    <w:p w:rsidR="00EF7595" w:rsidRPr="00EF7595" w:rsidRDefault="00EF7595" w:rsidP="00EF7595">
      <w:pPr>
        <w:pStyle w:val="a3"/>
        <w:spacing w:line="23" w:lineRule="atLeast"/>
        <w:ind w:left="1134"/>
        <w:rPr>
          <w:strike/>
          <w:lang w:val="fr-FR"/>
        </w:rPr>
      </w:pPr>
      <w:r w:rsidRPr="007F3EC4">
        <w:rPr>
          <w:lang w:val="fr-FR"/>
        </w:rPr>
        <w:lastRenderedPageBreak/>
        <w:t>- en soulignant la nécessité non seulement de disposer de données sur la performan</w:t>
      </w:r>
      <w:r>
        <w:rPr>
          <w:lang w:val="fr-FR"/>
        </w:rPr>
        <w:t>ce plus solides et plus fiables</w:t>
      </w:r>
      <w:r w:rsidRPr="0088356C">
        <w:rPr>
          <w:rStyle w:val="af1"/>
          <w:lang w:val="fr-FR" w:bidi="ru-RU"/>
        </w:rPr>
        <w:footnoteReference w:id="7"/>
      </w:r>
      <w:r w:rsidRPr="003914B8">
        <w:rPr>
          <w:lang w:val="fr-FR" w:bidi="ru-RU"/>
        </w:rPr>
        <w:t>,</w:t>
      </w:r>
      <w:r w:rsidRPr="007F3EC4">
        <w:rPr>
          <w:lang w:val="fr-FR"/>
        </w:rPr>
        <w:t xml:space="preserve"> mais aussi de les utiliser au sein du gouvernement</w:t>
      </w:r>
    </w:p>
    <w:p w:rsidR="0096722F" w:rsidRPr="00994964" w:rsidRDefault="00994964" w:rsidP="00EF7595">
      <w:pPr>
        <w:pStyle w:val="a3"/>
        <w:numPr>
          <w:ilvl w:val="1"/>
          <w:numId w:val="3"/>
        </w:numPr>
        <w:spacing w:line="23" w:lineRule="atLeast"/>
        <w:ind w:left="567" w:hanging="567"/>
        <w:rPr>
          <w:lang w:val="fr-FR" w:eastAsia="fr-FR"/>
        </w:rPr>
      </w:pPr>
      <w:r w:rsidRPr="00994964">
        <w:rPr>
          <w:lang w:val="fr-FR" w:bidi="ru-RU"/>
        </w:rPr>
        <w:t>Ce document a été préparé par le groupe d’experts sur le thème II au XXIIIe Congrès de l’INTOSAI constitué des ISC suivante</w:t>
      </w:r>
      <w:r w:rsidR="00EB4497">
        <w:rPr>
          <w:lang w:val="fr-FR" w:bidi="ru-RU"/>
        </w:rPr>
        <w:t>s</w:t>
      </w:r>
      <w:r w:rsidRPr="00994964">
        <w:rPr>
          <w:lang w:val="fr-FR" w:bidi="ru-RU"/>
        </w:rPr>
        <w:t>: Afrique du Sud, Arabie saoudite, Arménie, Autriche, Azerbaïdjan</w:t>
      </w:r>
      <w:r w:rsidR="00EB4497">
        <w:rPr>
          <w:lang w:val="fr-FR" w:bidi="ru-RU"/>
        </w:rPr>
        <w:t>,</w:t>
      </w:r>
      <w:r w:rsidRPr="00994964">
        <w:rPr>
          <w:lang w:val="fr-FR" w:bidi="ru-RU"/>
        </w:rPr>
        <w:t xml:space="preserve"> Biélorussie, Brésil, Cuba, Émirats arabes unis, Espagne, États-Unis d’Amérique, Hongrie, Inde, Indonésie, Italie, Kazakhstan, </w:t>
      </w:r>
      <w:r w:rsidR="00EB4497">
        <w:rPr>
          <w:lang w:val="fr-FR" w:bidi="ru-RU"/>
        </w:rPr>
        <w:t>Mexique,</w:t>
      </w:r>
      <w:r w:rsidR="00EB4497" w:rsidRPr="005E2018">
        <w:rPr>
          <w:lang w:val="fr-FR" w:bidi="ru-RU"/>
        </w:rPr>
        <w:t xml:space="preserve"> </w:t>
      </w:r>
      <w:r w:rsidRPr="00994964">
        <w:rPr>
          <w:lang w:val="fr-FR" w:bidi="ru-RU"/>
        </w:rPr>
        <w:t xml:space="preserve">Pologne, Portugal, Turquie, Slovaquie, Slovénie, ainsi que l’IDI et la sous la présidence de la </w:t>
      </w:r>
      <w:r w:rsidRPr="00EB4497">
        <w:rPr>
          <w:lang w:val="fr-FR" w:bidi="ru-RU"/>
        </w:rPr>
        <w:t xml:space="preserve">Chambre </w:t>
      </w:r>
      <w:r w:rsidRPr="00994964">
        <w:rPr>
          <w:lang w:val="fr-FR" w:bidi="ru-RU"/>
        </w:rPr>
        <w:t>des comptes de la Fédération de Russie. Le document porte sur la priorité transversale 2 du Plan stratégique pour la période 2017-2022 de l'INTOSAI (</w:t>
      </w:r>
      <w:r w:rsidRPr="00994964">
        <w:rPr>
          <w:rFonts w:ascii="FranklinGothic" w:hAnsi="FranklinGothic"/>
          <w:lang w:val="fr-FR" w:eastAsia="fr-FR"/>
        </w:rPr>
        <w:t>Contribuer au suivi et</w:t>
      </w:r>
      <w:r w:rsidR="00EB4497" w:rsidRPr="005E2018">
        <w:rPr>
          <w:rFonts w:ascii="FranklinGothic" w:hAnsi="FranklinGothic"/>
          <w:lang w:val="fr-FR" w:eastAsia="fr-FR"/>
        </w:rPr>
        <w:t xml:space="preserve"> </w:t>
      </w:r>
      <w:r w:rsidRPr="00994964">
        <w:rPr>
          <w:rFonts w:ascii="FranklinGothic" w:hAnsi="FranklinGothic"/>
          <w:lang w:val="fr-FR" w:eastAsia="fr-FR"/>
        </w:rPr>
        <w:t>à la révision des ODD dans le contexte des efforts spécifiques de chaque nation en matière de développement durable</w:t>
      </w:r>
      <w:r w:rsidRPr="005E2018">
        <w:rPr>
          <w:rFonts w:ascii="FranklinGothic" w:hAnsi="FranklinGothic"/>
          <w:lang w:val="fr-FR" w:eastAsia="fr-FR"/>
        </w:rPr>
        <w:t xml:space="preserve"> </w:t>
      </w:r>
      <w:r w:rsidR="0096722F" w:rsidRPr="00994964">
        <w:rPr>
          <w:rFonts w:ascii="FranklinGothic" w:hAnsi="FranklinGothic"/>
          <w:lang w:val="fr-FR" w:eastAsia="fr-FR"/>
        </w:rPr>
        <w:t xml:space="preserve">et des missions individuelles des ISC). </w:t>
      </w:r>
    </w:p>
    <w:p w:rsidR="00D54C6F" w:rsidRPr="00042E1F" w:rsidRDefault="00D54C6F" w:rsidP="00D54C6F">
      <w:pPr>
        <w:rPr>
          <w:lang w:val="fr-FR"/>
        </w:rPr>
      </w:pPr>
    </w:p>
    <w:p w:rsidR="000E642B" w:rsidRDefault="000E642B">
      <w:pPr>
        <w:rPr>
          <w:lang w:val="fr-FR"/>
        </w:rPr>
      </w:pPr>
      <w:r>
        <w:rPr>
          <w:lang w:val="fr-FR"/>
        </w:rPr>
        <w:br w:type="page"/>
      </w:r>
    </w:p>
    <w:p w:rsidR="000A4698" w:rsidRPr="00541799" w:rsidRDefault="00541799" w:rsidP="00007F6D">
      <w:pPr>
        <w:pStyle w:val="1"/>
        <w:spacing w:after="480" w:line="240" w:lineRule="auto"/>
        <w:ind w:left="567" w:hanging="567"/>
        <w:rPr>
          <w:lang w:val="fr-FR"/>
        </w:rPr>
      </w:pPr>
      <w:r w:rsidRPr="00F36E82">
        <w:rPr>
          <w:lang w:val="fr-FR"/>
        </w:rPr>
        <w:lastRenderedPageBreak/>
        <w:t>Activités stratégiques clés dans le cadre des fonctions d'audit et de conseil</w:t>
      </w:r>
    </w:p>
    <w:p w:rsidR="002E2744" w:rsidRPr="00042E1F" w:rsidRDefault="002E2744" w:rsidP="00D85EF4">
      <w:pPr>
        <w:pStyle w:val="a3"/>
        <w:numPr>
          <w:ilvl w:val="0"/>
          <w:numId w:val="3"/>
        </w:numPr>
        <w:spacing w:line="276" w:lineRule="auto"/>
        <w:rPr>
          <w:rFonts w:eastAsia="Calibri"/>
          <w:vanish/>
          <w:lang w:val="fr-FR"/>
        </w:rPr>
      </w:pPr>
    </w:p>
    <w:p w:rsidR="00C20663" w:rsidRPr="00042E1F" w:rsidRDefault="00541799" w:rsidP="00C20663">
      <w:pPr>
        <w:pStyle w:val="a3"/>
        <w:numPr>
          <w:ilvl w:val="1"/>
          <w:numId w:val="3"/>
        </w:numPr>
        <w:spacing w:line="276" w:lineRule="auto"/>
        <w:ind w:left="567" w:hanging="567"/>
        <w:rPr>
          <w:lang w:val="fr-FR" w:bidi="ru-RU"/>
        </w:rPr>
      </w:pPr>
      <w:r w:rsidRPr="00541799">
        <w:rPr>
          <w:lang w:val="fr-FR" w:bidi="ru-RU"/>
        </w:rPr>
        <w:t>Les ISC peuvent jouer différents rôles dans le cadre de leur mandat qui vont au-delà de leurs fonctions traditionnelles d</w:t>
      </w:r>
      <w:r>
        <w:rPr>
          <w:lang w:val="fr-FR" w:bidi="ru-RU"/>
        </w:rPr>
        <w:t>’audit</w:t>
      </w:r>
      <w:r w:rsidRPr="00541799">
        <w:rPr>
          <w:lang w:val="fr-FR" w:bidi="ru-RU"/>
        </w:rPr>
        <w:t xml:space="preserve"> financier et de conformité. Traditionnellement, les rôles de consultant, de chercheur et de développeur ont été soulignés, mais ce ne sont pas les seuls possibles</w:t>
      </w:r>
      <w:r>
        <w:rPr>
          <w:lang w:val="fr-FR" w:bidi="ru-RU"/>
        </w:rPr>
        <w:t>.</w:t>
      </w:r>
    </w:p>
    <w:p w:rsidR="00FB5878" w:rsidRPr="00042E1F" w:rsidRDefault="00541799" w:rsidP="00DC391F">
      <w:pPr>
        <w:pStyle w:val="a3"/>
        <w:numPr>
          <w:ilvl w:val="1"/>
          <w:numId w:val="3"/>
        </w:numPr>
        <w:spacing w:line="276" w:lineRule="auto"/>
        <w:ind w:left="567" w:hanging="567"/>
        <w:rPr>
          <w:lang w:val="fr-FR" w:bidi="ru-RU"/>
        </w:rPr>
      </w:pPr>
      <w:r w:rsidRPr="00541799">
        <w:rPr>
          <w:lang w:val="fr-FR" w:bidi="ru-RU"/>
        </w:rPr>
        <w:t>Le rôle des ISC doit évoluer en fonction de la transformation des gouvernements. Les changements peuvent être inspirés par le législateur, l'évolution de l'environnement, les nouvelles attentes émergentes concernant le travail des ISC (par exemple, la contribution à la mise en œuvre des O</w:t>
      </w:r>
      <w:r w:rsidR="008D2367">
        <w:rPr>
          <w:lang w:val="fr-FR" w:bidi="ru-RU"/>
        </w:rPr>
        <w:t>D</w:t>
      </w:r>
      <w:r w:rsidRPr="00541799">
        <w:rPr>
          <w:lang w:val="fr-FR" w:bidi="ru-RU"/>
        </w:rPr>
        <w:t>D) et l'intention interne d'une ISC de contribuer à la transparence, à la responsabilité de l'administration publique et à la bonne gouvernance</w:t>
      </w:r>
      <w:r w:rsidR="008D2367">
        <w:rPr>
          <w:lang w:val="fr-FR" w:bidi="ru-RU"/>
        </w:rPr>
        <w:t>.</w:t>
      </w:r>
    </w:p>
    <w:p w:rsidR="00FE3018" w:rsidRPr="00BA5AE1" w:rsidRDefault="0087622A" w:rsidP="00FE3018">
      <w:pPr>
        <w:pStyle w:val="a3"/>
        <w:numPr>
          <w:ilvl w:val="2"/>
          <w:numId w:val="3"/>
        </w:numPr>
        <w:spacing w:line="276" w:lineRule="auto"/>
        <w:ind w:hanging="657"/>
        <w:rPr>
          <w:rFonts w:eastAsia="Calibri"/>
          <w:b/>
          <w:lang w:val="fr-FR"/>
        </w:rPr>
      </w:pPr>
      <w:r w:rsidRPr="00BA5AE1">
        <w:rPr>
          <w:lang w:val="fr-FR" w:bidi="ru-RU"/>
        </w:rPr>
        <w:t xml:space="preserve">La complexité croissante de la gouvernance publique est caractérisée par l'incertitude des mesures et des résultats des interventions gouvernementales, les interactions multidimensionnelles entre les organismes gouvernementaux, les relations complexes avec les organisations non gouvernementales et la société civile. Les ISC doivent assurer le </w:t>
      </w:r>
      <w:r w:rsidRPr="00BA5AE1">
        <w:rPr>
          <w:b/>
          <w:lang w:val="fr-FR" w:bidi="ru-RU"/>
        </w:rPr>
        <w:t>développement méthodologique de l’audit de la performance</w:t>
      </w:r>
      <w:r w:rsidRPr="00BA5AE1">
        <w:rPr>
          <w:lang w:val="fr-FR" w:bidi="ru-RU"/>
        </w:rPr>
        <w:t xml:space="preserve"> d'une manière compatible avec la complexité croissante de la gouvernance publique nécessaire pour que les objectifs nationaux et le programme 2030 soient traités avec succès.</w:t>
      </w:r>
    </w:p>
    <w:p w:rsidR="00FE3018" w:rsidRPr="00042E1F" w:rsidRDefault="0087622A" w:rsidP="00FE3018">
      <w:pPr>
        <w:pStyle w:val="a3"/>
        <w:numPr>
          <w:ilvl w:val="2"/>
          <w:numId w:val="3"/>
        </w:numPr>
        <w:spacing w:line="276" w:lineRule="auto"/>
        <w:ind w:hanging="657"/>
        <w:rPr>
          <w:rFonts w:eastAsia="Calibri"/>
          <w:b/>
          <w:lang w:val="fr-FR"/>
        </w:rPr>
      </w:pPr>
      <w:r w:rsidRPr="0087622A">
        <w:rPr>
          <w:lang w:val="fr-FR" w:bidi="ru-RU"/>
        </w:rPr>
        <w:t xml:space="preserve">Il est de plus en plus reconnu que l'approche pangouvernementale est nécessaire pour assurer la cohérence des politiques publiques, la coordination et la souplesse de la </w:t>
      </w:r>
      <w:r w:rsidRPr="0004007A">
        <w:rPr>
          <w:b/>
          <w:lang w:val="fr-FR" w:bidi="ru-RU"/>
        </w:rPr>
        <w:t>réponse gouvernementale</w:t>
      </w:r>
      <w:r w:rsidRPr="0087622A">
        <w:rPr>
          <w:lang w:val="fr-FR" w:bidi="ru-RU"/>
        </w:rPr>
        <w:t xml:space="preserve"> intégrée aux défis constamment émergents sur la voie de la réalisation des objectifs nationaux. Les ISC doivent intensifier </w:t>
      </w:r>
      <w:r w:rsidRPr="0004007A">
        <w:rPr>
          <w:b/>
          <w:lang w:val="fr-FR" w:bidi="ru-RU"/>
        </w:rPr>
        <w:t>une approche intégrée et stratégique de l'audit afin de fournir une vue d'ensemble</w:t>
      </w:r>
      <w:r w:rsidRPr="0087622A">
        <w:rPr>
          <w:lang w:val="fr-FR" w:bidi="ru-RU"/>
        </w:rPr>
        <w:t xml:space="preserve"> du sujet contrôlé (organisation ou fonction)</w:t>
      </w:r>
      <w:r>
        <w:rPr>
          <w:lang w:val="fr-FR" w:bidi="ru-RU"/>
        </w:rPr>
        <w:t>.</w:t>
      </w:r>
    </w:p>
    <w:p w:rsidR="006C4C96" w:rsidRPr="00042E1F" w:rsidRDefault="00337839" w:rsidP="006C4C96">
      <w:pPr>
        <w:pStyle w:val="a3"/>
        <w:numPr>
          <w:ilvl w:val="2"/>
          <w:numId w:val="3"/>
        </w:numPr>
        <w:spacing w:line="276" w:lineRule="auto"/>
        <w:ind w:hanging="657"/>
        <w:rPr>
          <w:lang w:val="fr-FR"/>
        </w:rPr>
      </w:pPr>
      <w:r w:rsidRPr="00337839">
        <w:rPr>
          <w:lang w:val="fr-FR" w:bidi="ru-RU"/>
        </w:rPr>
        <w:t xml:space="preserve">Pour aller au-delà du rôle de </w:t>
      </w:r>
      <w:r w:rsidR="00BA5AE1">
        <w:rPr>
          <w:lang w:val="fr-FR" w:bidi="ru-RU"/>
        </w:rPr>
        <w:t>«</w:t>
      </w:r>
      <w:r w:rsidRPr="00337839">
        <w:rPr>
          <w:lang w:val="fr-FR" w:bidi="ru-RU"/>
        </w:rPr>
        <w:t>critique</w:t>
      </w:r>
      <w:r>
        <w:rPr>
          <w:lang w:val="fr-FR" w:bidi="ru-RU"/>
        </w:rPr>
        <w:t>»</w:t>
      </w:r>
      <w:r w:rsidRPr="00337839">
        <w:rPr>
          <w:lang w:val="fr-FR" w:bidi="ru-RU"/>
        </w:rPr>
        <w:t>, les ISC doivent être proactives et renforcer l'impact d</w:t>
      </w:r>
      <w:r>
        <w:rPr>
          <w:lang w:val="fr-FR" w:bidi="ru-RU"/>
        </w:rPr>
        <w:t>e l’audit</w:t>
      </w:r>
      <w:r w:rsidRPr="00337839">
        <w:rPr>
          <w:lang w:val="fr-FR" w:bidi="ru-RU"/>
        </w:rPr>
        <w:t xml:space="preserve"> intégré, ce qui peut se faire par le biais </w:t>
      </w:r>
      <w:r w:rsidRPr="0004007A">
        <w:rPr>
          <w:b/>
          <w:lang w:val="fr-FR" w:bidi="ru-RU"/>
        </w:rPr>
        <w:t>d'activités de conseil et d</w:t>
      </w:r>
      <w:r>
        <w:rPr>
          <w:b/>
          <w:lang w:val="fr-FR" w:bidi="ru-RU"/>
        </w:rPr>
        <w:t>’orientation</w:t>
      </w:r>
      <w:r w:rsidRPr="00337839">
        <w:rPr>
          <w:lang w:val="fr-FR" w:bidi="ru-RU"/>
        </w:rPr>
        <w:t>. En gardant à l'esprit les principales exigences stratégiques du gouvernement, les ISC peuvent fournir des recommandations (ainsi que des rapports d'audit), des rapports thématiques et des exposés de position sur des questions importantes et stratégiques de l'administration publique et des fonctions gouvernementales. Les ISC doivent non seulement améliorer l</w:t>
      </w:r>
      <w:r>
        <w:rPr>
          <w:lang w:val="fr-FR" w:bidi="ru-RU"/>
        </w:rPr>
        <w:t>’audit</w:t>
      </w:r>
      <w:r w:rsidRPr="00337839">
        <w:rPr>
          <w:lang w:val="fr-FR" w:bidi="ru-RU"/>
        </w:rPr>
        <w:t xml:space="preserve"> de performance des activités du gouvernement, mais aussi </w:t>
      </w:r>
      <w:r w:rsidRPr="0004007A">
        <w:rPr>
          <w:b/>
          <w:lang w:val="fr-FR" w:bidi="ru-RU"/>
        </w:rPr>
        <w:t>contribuer à la mise en place d'un système de re</w:t>
      </w:r>
      <w:r>
        <w:rPr>
          <w:b/>
          <w:lang w:val="fr-FR" w:bidi="ru-RU"/>
        </w:rPr>
        <w:t>ddition de comptes</w:t>
      </w:r>
      <w:r w:rsidRPr="00337839">
        <w:rPr>
          <w:b/>
          <w:lang w:val="fr-FR" w:bidi="ru-RU"/>
        </w:rPr>
        <w:t xml:space="preserve"> et de</w:t>
      </w:r>
      <w:r w:rsidRPr="0004007A">
        <w:rPr>
          <w:b/>
          <w:lang w:val="fr-FR" w:bidi="ru-RU"/>
        </w:rPr>
        <w:t xml:space="preserve"> performance </w:t>
      </w:r>
      <w:r>
        <w:rPr>
          <w:b/>
          <w:lang w:val="fr-FR" w:bidi="ru-RU"/>
        </w:rPr>
        <w:t xml:space="preserve">élevée </w:t>
      </w:r>
      <w:r w:rsidRPr="0004007A">
        <w:rPr>
          <w:b/>
          <w:lang w:val="fr-FR" w:bidi="ru-RU"/>
        </w:rPr>
        <w:t>au sein du gouvernement</w:t>
      </w:r>
      <w:r>
        <w:rPr>
          <w:b/>
          <w:lang w:val="fr-FR" w:bidi="ru-RU"/>
        </w:rPr>
        <w:t>.</w:t>
      </w:r>
    </w:p>
    <w:p w:rsidR="00004520" w:rsidRPr="00042E1F" w:rsidRDefault="00D033B5" w:rsidP="00A1615C">
      <w:pPr>
        <w:pStyle w:val="a3"/>
        <w:numPr>
          <w:ilvl w:val="1"/>
          <w:numId w:val="3"/>
        </w:numPr>
        <w:spacing w:line="276" w:lineRule="auto"/>
        <w:ind w:left="567" w:hanging="567"/>
        <w:rPr>
          <w:lang w:val="fr-FR" w:bidi="ru-RU"/>
        </w:rPr>
      </w:pPr>
      <w:r w:rsidRPr="00D033B5">
        <w:rPr>
          <w:lang w:val="fr-FR" w:bidi="ru-RU"/>
        </w:rPr>
        <w:lastRenderedPageBreak/>
        <w:t xml:space="preserve">Au sein de la communauté de l'INTOSAI, on reconnaît depuis longtemps que l'accent mis sur l'obligation de rendre compte est passé de </w:t>
      </w:r>
      <w:r w:rsidR="00BA5AE1">
        <w:rPr>
          <w:lang w:val="fr-FR" w:bidi="ru-RU"/>
        </w:rPr>
        <w:t>«</w:t>
      </w:r>
      <w:r w:rsidRPr="00D033B5">
        <w:rPr>
          <w:lang w:val="fr-FR" w:bidi="ru-RU"/>
        </w:rPr>
        <w:t>l'</w:t>
      </w:r>
      <w:r>
        <w:rPr>
          <w:lang w:val="fr-FR" w:bidi="ru-RU"/>
        </w:rPr>
        <w:t xml:space="preserve"> </w:t>
      </w:r>
      <w:r w:rsidRPr="00D033B5">
        <w:rPr>
          <w:lang w:val="fr-FR" w:bidi="ru-RU"/>
        </w:rPr>
        <w:t>obligation de rendre compte du processus</w:t>
      </w:r>
      <w:r>
        <w:rPr>
          <w:lang w:val="fr-FR" w:bidi="ru-RU"/>
        </w:rPr>
        <w:t xml:space="preserve"> »</w:t>
      </w:r>
      <w:r w:rsidRPr="00D033B5">
        <w:rPr>
          <w:lang w:val="fr-FR" w:bidi="ru-RU"/>
        </w:rPr>
        <w:t xml:space="preserve"> à </w:t>
      </w:r>
      <w:r w:rsidR="00BA5AE1">
        <w:rPr>
          <w:lang w:val="fr-FR" w:bidi="ru-RU"/>
        </w:rPr>
        <w:t>«</w:t>
      </w:r>
      <w:r w:rsidRPr="00D033B5">
        <w:rPr>
          <w:lang w:val="fr-FR" w:bidi="ru-RU"/>
        </w:rPr>
        <w:t>l</w:t>
      </w:r>
      <w:r>
        <w:rPr>
          <w:lang w:val="fr-FR" w:bidi="ru-RU"/>
        </w:rPr>
        <w:t>’</w:t>
      </w:r>
      <w:r w:rsidRPr="00D033B5">
        <w:rPr>
          <w:lang w:val="fr-FR" w:bidi="ru-RU"/>
        </w:rPr>
        <w:t>obligation de rendre compte d</w:t>
      </w:r>
      <w:r>
        <w:rPr>
          <w:lang w:val="fr-FR" w:bidi="ru-RU"/>
        </w:rPr>
        <w:t>e la performance »</w:t>
      </w:r>
      <w:r w:rsidRPr="00D033B5">
        <w:rPr>
          <w:lang w:val="fr-FR" w:bidi="ru-RU"/>
        </w:rPr>
        <w:t>. L</w:t>
      </w:r>
      <w:r>
        <w:rPr>
          <w:lang w:val="fr-FR" w:bidi="ru-RU"/>
        </w:rPr>
        <w:t>e programme de</w:t>
      </w:r>
      <w:r w:rsidRPr="00D033B5">
        <w:rPr>
          <w:lang w:val="fr-FR" w:bidi="ru-RU"/>
        </w:rPr>
        <w:t xml:space="preserve"> développement durable </w:t>
      </w:r>
      <w:r>
        <w:rPr>
          <w:lang w:val="fr-FR" w:bidi="ru-RU"/>
        </w:rPr>
        <w:t xml:space="preserve">à l’horizon 2030 </w:t>
      </w:r>
      <w:r w:rsidRPr="00D033B5">
        <w:rPr>
          <w:lang w:val="fr-FR" w:bidi="ru-RU"/>
        </w:rPr>
        <w:t>et les défis que doivent relever les gouvernements nationaux pour atteindre leurs objectifs ont mis en lumière un recentrage de la responsabili</w:t>
      </w:r>
      <w:r>
        <w:rPr>
          <w:lang w:val="fr-FR" w:bidi="ru-RU"/>
        </w:rPr>
        <w:t>té</w:t>
      </w:r>
      <w:r w:rsidRPr="00D033B5">
        <w:rPr>
          <w:lang w:val="fr-FR" w:bidi="ru-RU"/>
        </w:rPr>
        <w:t xml:space="preserve"> d'une manière compatible avec une gestion publique axée sur la performance et les résultats et essentielle à une bonne gouvernance. Pour les ISC, le défi actuel consiste à élaborer une approche d</w:t>
      </w:r>
      <w:r>
        <w:rPr>
          <w:lang w:val="fr-FR" w:bidi="ru-RU"/>
        </w:rPr>
        <w:t>’audit</w:t>
      </w:r>
      <w:r w:rsidRPr="00D033B5">
        <w:rPr>
          <w:lang w:val="fr-FR" w:bidi="ru-RU"/>
        </w:rPr>
        <w:t xml:space="preserve"> intégré adéquate et à bien comprendre les mécanismes de fonctionnement de la gouvernance et de la responsabilité</w:t>
      </w:r>
      <w:r>
        <w:rPr>
          <w:lang w:val="fr-FR" w:bidi="ru-RU"/>
        </w:rPr>
        <w:t>,</w:t>
      </w:r>
      <w:r w:rsidRPr="00D033B5">
        <w:rPr>
          <w:lang w:val="fr-FR" w:bidi="ru-RU"/>
        </w:rPr>
        <w:t xml:space="preserve"> tout en maintenant la crédibilité, l'objectivité, l'impartialité et l'indépendance des ISC.</w:t>
      </w:r>
    </w:p>
    <w:p w:rsidR="002F539A" w:rsidRPr="00042E1F" w:rsidRDefault="009C3190" w:rsidP="002F539A">
      <w:pPr>
        <w:pStyle w:val="a3"/>
        <w:numPr>
          <w:ilvl w:val="2"/>
          <w:numId w:val="3"/>
        </w:numPr>
        <w:spacing w:line="276" w:lineRule="auto"/>
        <w:ind w:hanging="657"/>
        <w:rPr>
          <w:lang w:val="fr-FR"/>
        </w:rPr>
      </w:pPr>
      <w:r w:rsidRPr="009F7B07">
        <w:rPr>
          <w:lang w:val="fr-FR" w:bidi="ru-RU"/>
        </w:rPr>
        <w:t>Si les gouvernements ne fixent pas d</w:t>
      </w:r>
      <w:r w:rsidR="001425F3" w:rsidRPr="00277F0D">
        <w:rPr>
          <w:lang w:val="fr-FR" w:bidi="ru-RU"/>
        </w:rPr>
        <w:t>’</w:t>
      </w:r>
      <w:r w:rsidRPr="009F7B07">
        <w:rPr>
          <w:lang w:val="fr-FR" w:bidi="ru-RU"/>
        </w:rPr>
        <w:t>objectifs nationaux</w:t>
      </w:r>
      <w:r w:rsidR="002F539A" w:rsidRPr="009F7B07">
        <w:rPr>
          <w:lang w:val="fr-FR" w:bidi="ru-RU"/>
        </w:rPr>
        <w:t xml:space="preserve">, </w:t>
      </w:r>
      <w:r w:rsidRPr="009F7B07">
        <w:rPr>
          <w:lang w:val="fr-FR" w:bidi="ru-RU"/>
        </w:rPr>
        <w:t xml:space="preserve">les </w:t>
      </w:r>
      <w:r w:rsidR="000C2C52" w:rsidRPr="009F7B07">
        <w:rPr>
          <w:lang w:val="fr-FR" w:bidi="ru-RU"/>
        </w:rPr>
        <w:t>ISA</w:t>
      </w:r>
      <w:r w:rsidR="002F539A" w:rsidRPr="009F7B07">
        <w:rPr>
          <w:lang w:val="fr-FR" w:bidi="ru-RU"/>
        </w:rPr>
        <w:t xml:space="preserve"> </w:t>
      </w:r>
      <w:r w:rsidRPr="009F7B07">
        <w:rPr>
          <w:lang w:val="fr-FR" w:bidi="ru-RU"/>
        </w:rPr>
        <w:t>devraient informer les citoyens et les autres parties prenantes des lacunes du gouvernement dans ces domaines</w:t>
      </w:r>
      <w:r w:rsidR="002F539A" w:rsidRPr="00042E1F">
        <w:rPr>
          <w:lang w:val="fr-FR" w:bidi="ru-RU"/>
        </w:rPr>
        <w:t>.</w:t>
      </w:r>
      <w:r w:rsidR="000500BC">
        <w:rPr>
          <w:lang w:val="fr-FR" w:bidi="ru-RU"/>
        </w:rPr>
        <w:t xml:space="preserve"> </w:t>
      </w:r>
      <w:r w:rsidR="000500BC" w:rsidRPr="000500BC">
        <w:rPr>
          <w:lang w:val="fr-FR" w:bidi="ru-RU"/>
        </w:rPr>
        <w:t>Il n'est pas facile de mesurer et d'appliquer la responsabili</w:t>
      </w:r>
      <w:r w:rsidR="009F7B07">
        <w:rPr>
          <w:lang w:val="fr-FR" w:bidi="ru-RU"/>
        </w:rPr>
        <w:t>té</w:t>
      </w:r>
      <w:r w:rsidR="000500BC" w:rsidRPr="000500BC">
        <w:rPr>
          <w:lang w:val="fr-FR" w:bidi="ru-RU"/>
        </w:rPr>
        <w:t xml:space="preserve"> axée sur les résultats, qui est liée à l'importance accrue accordée aux résultats, car les entités publiques et les gestionnaires ne contrôlent pas complètement les résultats. L</w:t>
      </w:r>
      <w:r w:rsidR="009F7B07">
        <w:rPr>
          <w:lang w:val="fr-FR" w:bidi="ru-RU"/>
        </w:rPr>
        <w:t>a reddition de comptes</w:t>
      </w:r>
      <w:r w:rsidR="000500BC" w:rsidRPr="000500BC">
        <w:rPr>
          <w:lang w:val="fr-FR" w:bidi="ru-RU"/>
        </w:rPr>
        <w:t xml:space="preserve"> en termes de résultats et de résultats est souvent exigée par les citoyens ou d'autres parties prenantes des ISC en raison d'un mécontentement accru à l'égard des actions gouvernementales. Les ISC devraient vérifier non seulement si les entités gouvernementales ont des buts et des objectifs clairement établis qui contribuent au développement durable national, mais aussi si elles disposent de stratégies solides et fondées sur des données probantes pour atteindre ces buts, si l'information et les données probantes sur la performance sont effectivement utilisées pour la planification stratégique, l'allocation des ressources publiques, le suivi et l'évaluation, les rapports, etc. Si le gouvernement ne fixe pas d'objectifs nationaux, les ISC doivent informer les citoyens et les autres parties prenantes des lacunes du gouvernement dans ces domaines</w:t>
      </w:r>
      <w:r w:rsidR="009F7B07">
        <w:rPr>
          <w:lang w:val="fr-FR" w:bidi="ru-RU"/>
        </w:rPr>
        <w:t>.</w:t>
      </w:r>
    </w:p>
    <w:p w:rsidR="002F539A" w:rsidRPr="009F7B07" w:rsidRDefault="009F7B07" w:rsidP="002F539A">
      <w:pPr>
        <w:pStyle w:val="a3"/>
        <w:numPr>
          <w:ilvl w:val="2"/>
          <w:numId w:val="3"/>
        </w:numPr>
        <w:spacing w:line="276" w:lineRule="auto"/>
        <w:ind w:hanging="657"/>
        <w:rPr>
          <w:rFonts w:eastAsia="Calibri"/>
          <w:lang w:val="fr-FR"/>
        </w:rPr>
      </w:pPr>
      <w:r w:rsidRPr="0004007A">
        <w:rPr>
          <w:lang w:val="fr-FR" w:bidi="ru-RU"/>
        </w:rPr>
        <w:t xml:space="preserve">Une autre dimension importante de la reddition de comptes à aborder est la reddition de comptes en tant que démonstration des leçons tirées des résultats et des échecs. Il s'agit de la capacité de résoudre les problèmes en prenant des mesures correctives appropriées fondées sur l'utilisation appropriée de l'information et des éléments probants </w:t>
      </w:r>
      <w:r>
        <w:rPr>
          <w:lang w:val="fr-FR" w:bidi="ru-RU"/>
        </w:rPr>
        <w:t>de la performance</w:t>
      </w:r>
      <w:r w:rsidRPr="0004007A">
        <w:rPr>
          <w:lang w:val="fr-FR" w:bidi="ru-RU"/>
        </w:rPr>
        <w:t>.</w:t>
      </w:r>
    </w:p>
    <w:p w:rsidR="00E40A57" w:rsidRPr="00042E1F" w:rsidRDefault="00883E45" w:rsidP="00E40A57">
      <w:pPr>
        <w:pStyle w:val="a3"/>
        <w:numPr>
          <w:ilvl w:val="2"/>
          <w:numId w:val="3"/>
        </w:numPr>
        <w:spacing w:line="276" w:lineRule="auto"/>
        <w:ind w:hanging="657"/>
        <w:rPr>
          <w:lang w:val="fr-FR"/>
        </w:rPr>
      </w:pPr>
      <w:r w:rsidRPr="00883E45">
        <w:rPr>
          <w:lang w:val="fr-FR" w:bidi="ru-RU"/>
        </w:rPr>
        <w:t>Des rôles et des responsabilités clairement définis dans l'administration publique sont essentiels à une coordination bien conçue et à la performance. Elle a donc une incidence importante sur la gestion et la responsabilité du secteur public. Face à un problème de non-clarification des rôles et des responsabilités, les ISC doivent contribuer à informer leurs parties prenantes sur ces questions</w:t>
      </w:r>
      <w:r>
        <w:rPr>
          <w:lang w:val="fr-FR" w:bidi="ru-RU"/>
        </w:rPr>
        <w:t>.</w:t>
      </w:r>
    </w:p>
    <w:p w:rsidR="00A95B4C" w:rsidRPr="00042E1F" w:rsidRDefault="00A84662" w:rsidP="00626650">
      <w:pPr>
        <w:pStyle w:val="a3"/>
        <w:numPr>
          <w:ilvl w:val="1"/>
          <w:numId w:val="3"/>
        </w:numPr>
        <w:spacing w:line="276" w:lineRule="auto"/>
        <w:ind w:left="567" w:hanging="567"/>
        <w:rPr>
          <w:lang w:val="fr-FR"/>
        </w:rPr>
      </w:pPr>
      <w:r w:rsidRPr="00A84662">
        <w:rPr>
          <w:lang w:val="fr-FR" w:bidi="ru-RU"/>
        </w:rPr>
        <w:t xml:space="preserve">Souvent, les gouvernements nationaux ne parviennent pas à promouvoir leur perspective à long terme reflétée dans la </w:t>
      </w:r>
      <w:r w:rsidRPr="0004007A">
        <w:rPr>
          <w:b/>
          <w:lang w:val="fr-FR" w:bidi="ru-RU"/>
        </w:rPr>
        <w:t>planification stratégique</w:t>
      </w:r>
      <w:r w:rsidRPr="00A84662">
        <w:rPr>
          <w:lang w:val="fr-FR" w:bidi="ru-RU"/>
        </w:rPr>
        <w:t xml:space="preserve"> (lien élaboré et factuel entre les plans </w:t>
      </w:r>
      <w:r w:rsidRPr="00A84662">
        <w:rPr>
          <w:lang w:val="fr-FR" w:bidi="ru-RU"/>
        </w:rPr>
        <w:lastRenderedPageBreak/>
        <w:t xml:space="preserve">de performance, l'évaluation, les mesures correctives et les objectifs stratégiques à long terme), </w:t>
      </w:r>
      <w:r w:rsidRPr="0004007A">
        <w:rPr>
          <w:b/>
          <w:lang w:val="fr-FR" w:bidi="ru-RU"/>
        </w:rPr>
        <w:t>la politique cohérente</w:t>
      </w:r>
      <w:r w:rsidRPr="00A84662">
        <w:rPr>
          <w:lang w:val="fr-FR" w:bidi="ru-RU"/>
        </w:rPr>
        <w:t xml:space="preserve"> (mise en œuvre intégrée), </w:t>
      </w:r>
      <w:r w:rsidRPr="0004007A">
        <w:rPr>
          <w:b/>
          <w:lang w:val="fr-FR" w:bidi="ru-RU"/>
        </w:rPr>
        <w:t>l'évaluation</w:t>
      </w:r>
      <w:r w:rsidRPr="00A84662">
        <w:rPr>
          <w:lang w:val="fr-FR" w:bidi="ru-RU"/>
        </w:rPr>
        <w:t xml:space="preserve"> (examen des résultats et des réalisations en fonction des attentes initiales) et </w:t>
      </w:r>
      <w:r w:rsidRPr="0004007A">
        <w:rPr>
          <w:b/>
          <w:lang w:val="fr-FR" w:bidi="ru-RU"/>
        </w:rPr>
        <w:t>l'apprentissage</w:t>
      </w:r>
      <w:r w:rsidRPr="00A84662">
        <w:rPr>
          <w:lang w:val="fr-FR" w:bidi="ru-RU"/>
        </w:rPr>
        <w:t>. En d'autres termes, les gouvernements ne sont souvent pas les moteurs stratégiques, interconnectés, transversaux et interdépendants des politiques, comme ils devraient l'être pour atteindre les objectifs nationaux et les O</w:t>
      </w:r>
      <w:r w:rsidR="00277F0D">
        <w:rPr>
          <w:lang w:val="fr-FR" w:bidi="ru-RU"/>
        </w:rPr>
        <w:t>D</w:t>
      </w:r>
      <w:r w:rsidRPr="00A84662">
        <w:rPr>
          <w:lang w:val="fr-FR" w:bidi="ru-RU"/>
        </w:rPr>
        <w:t>D. Bien que les ISC doivent conserver leur orientation traditionnelle sur l</w:t>
      </w:r>
      <w:r w:rsidR="00277F0D">
        <w:rPr>
          <w:lang w:val="fr-FR" w:bidi="ru-RU"/>
        </w:rPr>
        <w:t xml:space="preserve">e contrôle </w:t>
      </w:r>
      <w:r w:rsidRPr="00A84662">
        <w:rPr>
          <w:lang w:val="fr-FR" w:bidi="ru-RU"/>
        </w:rPr>
        <w:t>financi</w:t>
      </w:r>
      <w:r w:rsidR="00277F0D">
        <w:rPr>
          <w:lang w:val="fr-FR" w:bidi="ru-RU"/>
        </w:rPr>
        <w:t>er</w:t>
      </w:r>
      <w:r w:rsidRPr="00A84662">
        <w:rPr>
          <w:lang w:val="fr-FR" w:bidi="ru-RU"/>
        </w:rPr>
        <w:t xml:space="preserve"> et l</w:t>
      </w:r>
      <w:r w:rsidR="00277F0D">
        <w:rPr>
          <w:lang w:val="fr-FR" w:bidi="ru-RU"/>
        </w:rPr>
        <w:t>’audit</w:t>
      </w:r>
      <w:r w:rsidRPr="00A84662">
        <w:rPr>
          <w:lang w:val="fr-FR" w:bidi="ru-RU"/>
        </w:rPr>
        <w:t xml:space="preserve"> de la conformité, un nouveau rôle apparaît de plus en plus : celui d'un acteur plus stratégique ayant une vision unique du cycle budgétaire et des connaissances accumulées qui peuvent contribuer aux vues stratégiques à long terme et aux activités du gouvernement nécessaires pour atteindre les objectifs nationaux durables</w:t>
      </w:r>
      <w:r w:rsidR="00277F0D">
        <w:rPr>
          <w:lang w:val="fr-FR" w:bidi="ru-RU"/>
        </w:rPr>
        <w:t>.</w:t>
      </w:r>
    </w:p>
    <w:p w:rsidR="00A95B4C" w:rsidRPr="00042E1F" w:rsidRDefault="00A026F2" w:rsidP="00C43C05">
      <w:pPr>
        <w:pStyle w:val="a3"/>
        <w:spacing w:line="276" w:lineRule="auto"/>
        <w:ind w:left="567"/>
        <w:rPr>
          <w:lang w:val="fr-FR"/>
        </w:rPr>
      </w:pPr>
      <w:r>
        <w:rPr>
          <w:lang w:val="fr-FR" w:bidi="ru-RU"/>
        </w:rPr>
        <w:t>I</w:t>
      </w:r>
      <w:r w:rsidRPr="00A026F2">
        <w:rPr>
          <w:lang w:val="fr-FR" w:bidi="ru-RU"/>
        </w:rPr>
        <w:t>l faudrait faciliter la discussion sur ce que signifie l</w:t>
      </w:r>
      <w:r>
        <w:rPr>
          <w:lang w:val="fr-FR" w:bidi="ru-RU"/>
        </w:rPr>
        <w:t>’audit</w:t>
      </w:r>
      <w:r w:rsidRPr="00A026F2">
        <w:rPr>
          <w:lang w:val="fr-FR" w:bidi="ru-RU"/>
        </w:rPr>
        <w:t xml:space="preserve"> stratégique, comment le faire et </w:t>
      </w:r>
      <w:r>
        <w:rPr>
          <w:lang w:val="fr-FR" w:bidi="ru-RU"/>
        </w:rPr>
        <w:t>que</w:t>
      </w:r>
      <w:r w:rsidRPr="00A026F2">
        <w:rPr>
          <w:lang w:val="fr-FR" w:bidi="ru-RU"/>
        </w:rPr>
        <w:t>lles sont les exigences, comment il est conforme aux normes de contrôle de gestion et quels sont les outils et les approches pour les ISC</w:t>
      </w:r>
      <w:r>
        <w:rPr>
          <w:lang w:val="fr-FR" w:bidi="ru-RU"/>
        </w:rPr>
        <w:t>.</w:t>
      </w:r>
    </w:p>
    <w:p w:rsidR="00066729" w:rsidRPr="00042E1F" w:rsidRDefault="00052188" w:rsidP="003426C5">
      <w:pPr>
        <w:pStyle w:val="a3"/>
        <w:numPr>
          <w:ilvl w:val="2"/>
          <w:numId w:val="3"/>
        </w:numPr>
        <w:spacing w:line="276" w:lineRule="auto"/>
        <w:ind w:hanging="657"/>
        <w:rPr>
          <w:lang w:val="fr-FR"/>
        </w:rPr>
      </w:pPr>
      <w:r w:rsidRPr="00052188">
        <w:rPr>
          <w:lang w:val="fr-FR" w:bidi="ru-RU"/>
        </w:rPr>
        <w:t xml:space="preserve">L'approche stratégique au sein des ISC se réfère, en particulier, à l'étape de l'identification des questions stratégiques à prendre en compte dans les activités de contrôle et de conseil dans le cadre du processus de planification stratégique de l'ISC. La planification et la préparation sont un </w:t>
      </w:r>
      <w:r>
        <w:rPr>
          <w:lang w:val="fr-FR" w:bidi="ru-RU"/>
        </w:rPr>
        <w:t>élément</w:t>
      </w:r>
      <w:r w:rsidRPr="00052188">
        <w:rPr>
          <w:lang w:val="fr-FR" w:bidi="ru-RU"/>
        </w:rPr>
        <w:t xml:space="preserve"> clé du processus d</w:t>
      </w:r>
      <w:r>
        <w:rPr>
          <w:lang w:val="fr-FR" w:bidi="ru-RU"/>
        </w:rPr>
        <w:t xml:space="preserve">’audit </w:t>
      </w:r>
      <w:r w:rsidRPr="00052188">
        <w:rPr>
          <w:lang w:val="fr-FR" w:bidi="ru-RU"/>
        </w:rPr>
        <w:t>stratégique. L</w:t>
      </w:r>
      <w:r>
        <w:rPr>
          <w:lang w:val="fr-FR" w:bidi="ru-RU"/>
        </w:rPr>
        <w:t>’audit</w:t>
      </w:r>
      <w:r w:rsidRPr="00052188">
        <w:rPr>
          <w:lang w:val="fr-FR" w:bidi="ru-RU"/>
        </w:rPr>
        <w:t xml:space="preserve"> stratégique soulève des exigences en matière de planification d</w:t>
      </w:r>
      <w:r>
        <w:rPr>
          <w:lang w:val="fr-FR" w:bidi="ru-RU"/>
        </w:rPr>
        <w:t>’audit</w:t>
      </w:r>
      <w:r w:rsidRPr="00052188">
        <w:rPr>
          <w:lang w:val="fr-FR" w:bidi="ru-RU"/>
        </w:rPr>
        <w:t>. Par exemple, dans la phase de préparation et de planification de l'audit stratégique, un rapport analytique et/ou une étude préliminaire pourraient être préparés.</w:t>
      </w:r>
    </w:p>
    <w:p w:rsidR="00066729" w:rsidRPr="00042E1F" w:rsidRDefault="004B02F2" w:rsidP="00BA5AE1">
      <w:pPr>
        <w:pStyle w:val="a3"/>
        <w:spacing w:line="276" w:lineRule="auto"/>
        <w:ind w:left="1843"/>
        <w:rPr>
          <w:lang w:val="fr-FR" w:bidi="ru-RU"/>
        </w:rPr>
      </w:pPr>
      <w:r w:rsidRPr="004B02F2">
        <w:rPr>
          <w:lang w:val="fr-FR" w:bidi="ru-RU"/>
        </w:rPr>
        <w:t xml:space="preserve">L'approche stratégique du travail </w:t>
      </w:r>
      <w:r>
        <w:rPr>
          <w:lang w:val="fr-FR" w:bidi="ru-RU"/>
        </w:rPr>
        <w:t>d’audit</w:t>
      </w:r>
      <w:r w:rsidRPr="004B02F2">
        <w:rPr>
          <w:lang w:val="fr-FR" w:bidi="ru-RU"/>
        </w:rPr>
        <w:t xml:space="preserve"> fondée sur la stratégie globale de l'ISC et la nécessité d'une gestion du changement sont soulignées dans le cadre de gestion stra</w:t>
      </w:r>
      <w:r>
        <w:rPr>
          <w:lang w:val="fr-FR" w:bidi="ru-RU"/>
        </w:rPr>
        <w:t>tégique de l'ISC élaboré par l'I</w:t>
      </w:r>
      <w:r w:rsidRPr="004B02F2">
        <w:rPr>
          <w:lang w:val="fr-FR" w:bidi="ru-RU"/>
        </w:rPr>
        <w:t>nitiative de développement de l'INTOSAI.</w:t>
      </w:r>
    </w:p>
    <w:p w:rsidR="003426C5" w:rsidRPr="00042E1F" w:rsidRDefault="000E6260" w:rsidP="003426C5">
      <w:pPr>
        <w:pStyle w:val="a3"/>
        <w:numPr>
          <w:ilvl w:val="2"/>
          <w:numId w:val="3"/>
        </w:numPr>
        <w:spacing w:line="276" w:lineRule="auto"/>
        <w:ind w:hanging="657"/>
        <w:rPr>
          <w:lang w:val="fr-FR"/>
        </w:rPr>
      </w:pPr>
      <w:r w:rsidRPr="005E2018">
        <w:rPr>
          <w:lang w:val="fr-FR"/>
        </w:rPr>
        <w:t xml:space="preserve">Les audits stratégiques peuvent porter sur des audits, des évaluations ou des conseils sur </w:t>
      </w:r>
      <w:r w:rsidRPr="005E2018">
        <w:rPr>
          <w:b/>
          <w:lang w:val="fr-FR"/>
        </w:rPr>
        <w:t>divers éléments du cycle des politiques et sur la cohérence des politiques en général</w:t>
      </w:r>
      <w:r w:rsidRPr="005E2018">
        <w:rPr>
          <w:lang w:val="fr-FR"/>
        </w:rPr>
        <w:t xml:space="preserve">, </w:t>
      </w:r>
      <w:r w:rsidRPr="005E2018">
        <w:rPr>
          <w:b/>
          <w:lang w:val="fr-FR"/>
        </w:rPr>
        <w:t>dans une perspective pangouvernementale</w:t>
      </w:r>
      <w:r w:rsidRPr="005E2018">
        <w:rPr>
          <w:lang w:val="fr-FR"/>
        </w:rPr>
        <w:t xml:space="preserve"> - de la planification stratégique à l'évaluation, à la reddition des comptes et à l'apprentissage</w:t>
      </w:r>
      <w:r w:rsidR="00745EC7" w:rsidRPr="00BA5AE1">
        <w:rPr>
          <w:rStyle w:val="af1"/>
          <w:lang w:val="fr-FR" w:bidi="ru-RU"/>
        </w:rPr>
        <w:footnoteReference w:id="8"/>
      </w:r>
      <w:r w:rsidRPr="005E2018">
        <w:rPr>
          <w:lang w:val="fr-FR"/>
        </w:rPr>
        <w:t>.</w:t>
      </w:r>
    </w:p>
    <w:p w:rsidR="003426C5" w:rsidRPr="00042E1F" w:rsidRDefault="0072685A" w:rsidP="003426C5">
      <w:pPr>
        <w:pStyle w:val="a3"/>
        <w:numPr>
          <w:ilvl w:val="2"/>
          <w:numId w:val="3"/>
        </w:numPr>
        <w:spacing w:line="276" w:lineRule="auto"/>
        <w:ind w:hanging="657"/>
        <w:rPr>
          <w:lang w:val="fr-FR"/>
        </w:rPr>
      </w:pPr>
      <w:r w:rsidRPr="0072685A">
        <w:rPr>
          <w:lang w:val="fr-FR" w:bidi="ru-RU"/>
        </w:rPr>
        <w:t>L</w:t>
      </w:r>
      <w:r>
        <w:rPr>
          <w:lang w:val="fr-FR" w:bidi="ru-RU"/>
        </w:rPr>
        <w:t>’audit</w:t>
      </w:r>
      <w:r w:rsidRPr="0072685A">
        <w:rPr>
          <w:lang w:val="fr-FR" w:bidi="ru-RU"/>
        </w:rPr>
        <w:t xml:space="preserve"> stratégique peut aussi comprendre des </w:t>
      </w:r>
      <w:r>
        <w:rPr>
          <w:lang w:val="fr-FR" w:bidi="ru-RU"/>
        </w:rPr>
        <w:t>audits</w:t>
      </w:r>
      <w:r w:rsidRPr="0072685A">
        <w:rPr>
          <w:lang w:val="fr-FR" w:bidi="ru-RU"/>
        </w:rPr>
        <w:t xml:space="preserve"> </w:t>
      </w:r>
      <w:r>
        <w:rPr>
          <w:lang w:val="fr-FR" w:bidi="ru-RU"/>
        </w:rPr>
        <w:t xml:space="preserve">à l’échelle </w:t>
      </w:r>
      <w:r w:rsidRPr="0072685A">
        <w:rPr>
          <w:lang w:val="fr-FR" w:bidi="ru-RU"/>
        </w:rPr>
        <w:t xml:space="preserve">pangouvernementale qui examinent trois éléments fondamentaux de l'intégration des politiques et des programmes - horizontale (entre </w:t>
      </w:r>
      <w:r w:rsidRPr="0072685A">
        <w:rPr>
          <w:lang w:val="fr-FR" w:bidi="ru-RU"/>
        </w:rPr>
        <w:lastRenderedPageBreak/>
        <w:t xml:space="preserve">ministères), verticale (entre paliers de gouvernement) et de l'engagement (avec la société civile et les </w:t>
      </w:r>
      <w:r>
        <w:rPr>
          <w:lang w:val="fr-FR" w:bidi="ru-RU"/>
        </w:rPr>
        <w:t>parties prenantes</w:t>
      </w:r>
      <w:r w:rsidRPr="0072685A">
        <w:rPr>
          <w:lang w:val="fr-FR" w:bidi="ru-RU"/>
        </w:rPr>
        <w:t>)</w:t>
      </w:r>
      <w:r w:rsidR="00745EC7">
        <w:rPr>
          <w:rStyle w:val="af1"/>
          <w:lang w:val="fr-FR" w:bidi="ru-RU"/>
        </w:rPr>
        <w:footnoteReference w:id="9"/>
      </w:r>
      <w:r>
        <w:rPr>
          <w:lang w:val="fr-FR" w:bidi="ru-RU"/>
        </w:rPr>
        <w:t>.</w:t>
      </w:r>
    </w:p>
    <w:p w:rsidR="003426C5" w:rsidRPr="00042E1F" w:rsidRDefault="0072685A" w:rsidP="003426C5">
      <w:pPr>
        <w:pStyle w:val="a3"/>
        <w:numPr>
          <w:ilvl w:val="2"/>
          <w:numId w:val="3"/>
        </w:numPr>
        <w:spacing w:line="276" w:lineRule="auto"/>
        <w:ind w:hanging="657"/>
        <w:rPr>
          <w:lang w:val="fr-FR"/>
        </w:rPr>
      </w:pPr>
      <w:r w:rsidRPr="0072685A">
        <w:rPr>
          <w:lang w:val="fr-FR" w:bidi="ru-RU"/>
        </w:rPr>
        <w:t xml:space="preserve">Les activités d'audit stratégique et de conseil sont étroitement liées, à la fois en envisageant </w:t>
      </w:r>
      <w:r w:rsidRPr="0004007A">
        <w:rPr>
          <w:b/>
          <w:lang w:val="fr-FR" w:bidi="ru-RU"/>
        </w:rPr>
        <w:t>une approche prospective et en abordant des sujets prospectifs</w:t>
      </w:r>
      <w:r w:rsidRPr="0072685A">
        <w:rPr>
          <w:lang w:val="fr-FR" w:bidi="ru-RU"/>
        </w:rPr>
        <w:t xml:space="preserve"> (voir chapitre 4)</w:t>
      </w:r>
      <w:r>
        <w:rPr>
          <w:lang w:val="fr-FR" w:bidi="ru-RU"/>
        </w:rPr>
        <w:t>.</w:t>
      </w:r>
    </w:p>
    <w:p w:rsidR="003C7DD6" w:rsidRPr="00042E1F" w:rsidRDefault="001E3883" w:rsidP="00F01DC4">
      <w:pPr>
        <w:pStyle w:val="a3"/>
        <w:numPr>
          <w:ilvl w:val="2"/>
          <w:numId w:val="3"/>
        </w:numPr>
        <w:spacing w:line="276" w:lineRule="auto"/>
        <w:ind w:hanging="657"/>
        <w:rPr>
          <w:lang w:val="fr-FR"/>
        </w:rPr>
      </w:pPr>
      <w:r w:rsidRPr="001E3883">
        <w:rPr>
          <w:lang w:val="fr-FR" w:bidi="ru-RU"/>
        </w:rPr>
        <w:t xml:space="preserve">Les ISC pourraient effectuer des audits stratégiques ou fournir leurs conseils sur la base de travaux d'audit non pas de manière régulière, mais afin d'indiquer les lacunes dans le travail d'évaluation du gouvernement, comment y remédier en démontrant une bonne pratique d'évaluation, et d'encourager le gouvernement à traiter le problème actuel. Les </w:t>
      </w:r>
      <w:r>
        <w:rPr>
          <w:lang w:val="fr-FR" w:bidi="ru-RU"/>
        </w:rPr>
        <w:t>audits</w:t>
      </w:r>
      <w:r w:rsidRPr="001E3883">
        <w:rPr>
          <w:lang w:val="fr-FR" w:bidi="ru-RU"/>
        </w:rPr>
        <w:t xml:space="preserve"> stratégiques pourraient comprendre un tel travail d</w:t>
      </w:r>
      <w:r w:rsidR="00D6468B">
        <w:rPr>
          <w:lang w:val="fr-FR" w:bidi="ru-RU"/>
        </w:rPr>
        <w:t>’audit « ponctuels »</w:t>
      </w:r>
      <w:r w:rsidR="00745EC7" w:rsidRPr="00745EC7">
        <w:rPr>
          <w:rStyle w:val="af1"/>
          <w:strike/>
          <w:lang w:val="fr-FR" w:bidi="ru-RU"/>
        </w:rPr>
        <w:t xml:space="preserve"> </w:t>
      </w:r>
      <w:r w:rsidR="00745EC7" w:rsidRPr="00745EC7">
        <w:rPr>
          <w:rStyle w:val="af1"/>
          <w:lang w:val="fr-FR" w:bidi="ru-RU"/>
        </w:rPr>
        <w:footnoteReference w:id="10"/>
      </w:r>
      <w:r>
        <w:rPr>
          <w:lang w:val="fr-FR" w:bidi="ru-RU"/>
        </w:rPr>
        <w:t>.</w:t>
      </w:r>
    </w:p>
    <w:p w:rsidR="007A7636" w:rsidRPr="00042E1F" w:rsidRDefault="00C822E2" w:rsidP="007A7636">
      <w:pPr>
        <w:pStyle w:val="a3"/>
        <w:spacing w:line="276" w:lineRule="auto"/>
        <w:ind w:left="567"/>
        <w:rPr>
          <w:lang w:val="fr-FR"/>
        </w:rPr>
      </w:pPr>
      <w:r w:rsidRPr="00C822E2">
        <w:rPr>
          <w:lang w:val="fr-FR" w:bidi="ru-RU"/>
        </w:rPr>
        <w:t xml:space="preserve">L'étendue </w:t>
      </w:r>
      <w:r>
        <w:rPr>
          <w:lang w:val="fr-FR" w:bidi="ru-RU"/>
        </w:rPr>
        <w:t>de la participation de l'ISC à l’audit</w:t>
      </w:r>
      <w:r w:rsidRPr="00C822E2">
        <w:rPr>
          <w:lang w:val="fr-FR" w:bidi="ru-RU"/>
        </w:rPr>
        <w:t xml:space="preserve"> stratégique soulève </w:t>
      </w:r>
      <w:r w:rsidRPr="0004007A">
        <w:rPr>
          <w:b/>
          <w:lang w:val="fr-FR" w:bidi="ru-RU"/>
        </w:rPr>
        <w:t>une question relative au mandat de l'ISC</w:t>
      </w:r>
      <w:r w:rsidRPr="00C822E2">
        <w:rPr>
          <w:lang w:val="fr-FR" w:bidi="ru-RU"/>
        </w:rPr>
        <w:t>. Toutefois, toutes les ISC dont le mandat est limité pourraient contribuer à la réalisation des objectifs nationaux en appliquant une approche stratégique et intégrée des activités d'audit et de conseil. Cette approche est particulièrement importante pour les ISC en développement qui ont du mal à s'acquitter de leur mandat traditionnel, car elle permet une étape de conformité réalisable et une base pour obtenir, sécuriser et développer le mandat lié à l'audit de performance.</w:t>
      </w:r>
    </w:p>
    <w:p w:rsidR="007A7636" w:rsidRPr="00C822E2" w:rsidRDefault="00C822E2" w:rsidP="00C822E2">
      <w:pPr>
        <w:pStyle w:val="a3"/>
        <w:spacing w:line="276" w:lineRule="auto"/>
        <w:ind w:left="567"/>
        <w:rPr>
          <w:lang w:val="fr-FR" w:bidi="ru-RU"/>
        </w:rPr>
      </w:pPr>
      <w:r w:rsidRPr="008C6BAB">
        <w:rPr>
          <w:lang w:val="fr-FR" w:bidi="ru-RU"/>
        </w:rPr>
        <w:t>Les ISC doivent décider en toute indépendance du type d’audit à effectuer, en fonction de leur mandat, des attentes des parties prenantes, de l'environnement et de la disponibilité des ressources. Pour équilibrer toutes ces dimensions, il faut une combinaison solide de méthodologies relatives à l’audit de conformité, au contrôle financier et à l’audit de performance.</w:t>
      </w:r>
    </w:p>
    <w:p w:rsidR="008D533C" w:rsidRPr="005E2018" w:rsidRDefault="008D533C" w:rsidP="008D533C">
      <w:pPr>
        <w:pStyle w:val="a3"/>
        <w:numPr>
          <w:ilvl w:val="1"/>
          <w:numId w:val="3"/>
        </w:numPr>
        <w:spacing w:line="276" w:lineRule="auto"/>
        <w:ind w:left="567" w:hanging="567"/>
        <w:rPr>
          <w:lang w:val="fr-FR"/>
        </w:rPr>
      </w:pPr>
      <w:r w:rsidRPr="005E2018">
        <w:rPr>
          <w:b/>
          <w:lang w:val="fr-FR"/>
        </w:rPr>
        <w:t>Fonction consultative</w:t>
      </w:r>
      <w:r w:rsidRPr="005E2018">
        <w:rPr>
          <w:lang w:val="fr-FR"/>
        </w:rPr>
        <w:t xml:space="preserve">. Pour relever les défis mondiaux et nationaux, il faut reconnaître le nouveau rôle des institutions supérieures de contrôle des finances publiques. Les ISC peuvent grandement contribuer à la réalisation des objectifs nationaux en apportant des conseils et en formulant des recommandations fondées sur et dans les limites de leur position et de leur mandat institutionnels indépendants, de leurs responsabilités en matière de contrôle et des connaissances uniques accumulées. Les principes fondamentaux du contrôle du secteur public encouragent les ISC à mener des activités non liées à l'audit sur tout sujet intéressant la gouvernance publique et l'utilisation appropriée des ressources publiques (ISSAI 100, 23) et à fournir au Parlement et à l'administration leurs connaissances professionnelles sous la forme d'expertises avec la condition que leur audit soit effectif (Déclaration de Lima, 23). Fournir un service de conseil </w:t>
      </w:r>
      <w:r w:rsidRPr="005E2018">
        <w:rPr>
          <w:b/>
          <w:lang w:val="fr-FR"/>
        </w:rPr>
        <w:t xml:space="preserve">sans qu’il y ait une </w:t>
      </w:r>
      <w:r w:rsidRPr="005E2018">
        <w:rPr>
          <w:b/>
          <w:lang w:val="fr-FR"/>
        </w:rPr>
        <w:lastRenderedPageBreak/>
        <w:t>violation des fonctions de contrôle des ISC</w:t>
      </w:r>
      <w:r w:rsidRPr="005E2018">
        <w:rPr>
          <w:lang w:val="fr-FR"/>
        </w:rPr>
        <w:t xml:space="preserve"> impose qu'un équilibre entre les missions de contrôle et les autres tâches d'assurance soit trouvé.</w:t>
      </w:r>
    </w:p>
    <w:p w:rsidR="007A7636" w:rsidRPr="00042E1F" w:rsidRDefault="008D533C" w:rsidP="007A7636">
      <w:pPr>
        <w:pStyle w:val="a3"/>
        <w:spacing w:line="276" w:lineRule="auto"/>
        <w:ind w:left="567"/>
        <w:rPr>
          <w:lang w:val="fr-FR"/>
        </w:rPr>
      </w:pPr>
      <w:r w:rsidRPr="008D533C">
        <w:rPr>
          <w:lang w:val="fr-FR" w:bidi="ru-RU"/>
        </w:rPr>
        <w:t xml:space="preserve">Les ISC ont accumulé une </w:t>
      </w:r>
      <w:r>
        <w:rPr>
          <w:lang w:val="fr-FR" w:bidi="ru-RU"/>
        </w:rPr>
        <w:t>multitude</w:t>
      </w:r>
      <w:r w:rsidRPr="008D533C">
        <w:rPr>
          <w:lang w:val="fr-FR" w:bidi="ru-RU"/>
        </w:rPr>
        <w:t xml:space="preserve"> d'expériences diverses et difficiles à concilier sur des activités menées au-delà de la fonction de contrôle traditionnelle en raison des différentes limites du mandat, de l'allocation des ressources, de la capacité ainsi que des régimes de responsabilité et de performance dans les pays respectifs. Les ISC sont encouragées à partager leur expérience et leur contribution à la réalisation des objectifs nationaux en fournissant des conseils fondés sur leur travail d</w:t>
      </w:r>
      <w:r>
        <w:rPr>
          <w:lang w:val="fr-FR" w:bidi="ru-RU"/>
        </w:rPr>
        <w:t>’audit</w:t>
      </w:r>
      <w:r w:rsidRPr="008D533C">
        <w:rPr>
          <w:lang w:val="fr-FR" w:bidi="ru-RU"/>
        </w:rPr>
        <w:t xml:space="preserve"> et d'analyse.</w:t>
      </w:r>
    </w:p>
    <w:p w:rsidR="008F54C0" w:rsidRPr="0004007A" w:rsidRDefault="00937622" w:rsidP="00764224">
      <w:pPr>
        <w:pStyle w:val="a3"/>
        <w:numPr>
          <w:ilvl w:val="2"/>
          <w:numId w:val="3"/>
        </w:numPr>
        <w:spacing w:line="276" w:lineRule="auto"/>
        <w:ind w:left="1276" w:hanging="709"/>
        <w:rPr>
          <w:strike/>
          <w:lang w:val="fr-FR"/>
        </w:rPr>
      </w:pPr>
      <w:r>
        <w:rPr>
          <w:b/>
          <w:lang w:val="fr-FR" w:bidi="ru-RU"/>
        </w:rPr>
        <w:t>Le raisonnement.</w:t>
      </w:r>
    </w:p>
    <w:p w:rsidR="008F54C0" w:rsidRPr="00042E1F" w:rsidRDefault="000D6BE6" w:rsidP="00DC7C7A">
      <w:pPr>
        <w:pStyle w:val="a3"/>
        <w:numPr>
          <w:ilvl w:val="3"/>
          <w:numId w:val="6"/>
        </w:numPr>
        <w:spacing w:line="276" w:lineRule="auto"/>
        <w:rPr>
          <w:lang w:val="fr-FR"/>
        </w:rPr>
      </w:pPr>
      <w:r w:rsidRPr="000D6BE6">
        <w:rPr>
          <w:lang w:val="fr-FR" w:bidi="ru-RU"/>
        </w:rPr>
        <w:t>Les ISC sont stratégiquement positionnées dans un cadre constitutionnel pour superviser et surveiller l'ensemble du cycle budgétaire et les activités gouvernementales qui permettent aux ISC de cumuler des connaissances, compétences avancées, capacités organisationnelles et un pouvoir institutionnel nécessaires pour améliorer et stimuler des améliorations et changements positifs dans les gouvernements. Pour assurer la valeur et les avantages (ISSAI 12), les ISC doivent saisir l'opportunité d'une intégration bénéfique de leurs activités de conseil en matière de solutions pour une gouvernance publique plus efficace dans le processus de réforme gouvernementale. En dévoilant et utilisant leur potentiel d'analyse et de conseil, les ISC s'assurent de leur valeur et de leurs avantages et agissent comme des organisations modèles</w:t>
      </w:r>
      <w:r>
        <w:rPr>
          <w:lang w:val="fr-FR" w:bidi="ru-RU"/>
        </w:rPr>
        <w:t>.</w:t>
      </w:r>
    </w:p>
    <w:p w:rsidR="008F54C0" w:rsidRPr="00042E1F" w:rsidRDefault="00937622" w:rsidP="008F54C0">
      <w:pPr>
        <w:pStyle w:val="a3"/>
        <w:numPr>
          <w:ilvl w:val="3"/>
          <w:numId w:val="6"/>
        </w:numPr>
        <w:spacing w:line="276" w:lineRule="auto"/>
        <w:ind w:hanging="594"/>
        <w:rPr>
          <w:lang w:val="fr-FR"/>
        </w:rPr>
      </w:pPr>
      <w:r w:rsidRPr="00937622">
        <w:rPr>
          <w:lang w:val="fr-FR" w:bidi="ru-RU"/>
        </w:rPr>
        <w:t>Le travail d'audit peut être renforcé par les activités de conseil et de recherche des ISC visant à mettre en évidence le potentiel d'amélioration résultant de l'examen systématique des résultats d'audit et du travail analytique et de recherche</w:t>
      </w:r>
      <w:r>
        <w:rPr>
          <w:lang w:val="fr-FR" w:bidi="ru-RU"/>
        </w:rPr>
        <w:t xml:space="preserve"> exhaustif réalisé par les ISC.</w:t>
      </w:r>
    </w:p>
    <w:p w:rsidR="008F54C0" w:rsidRPr="00042E1F" w:rsidRDefault="00937622" w:rsidP="0004007A">
      <w:pPr>
        <w:pStyle w:val="a3"/>
        <w:ind w:left="1728"/>
        <w:rPr>
          <w:lang w:val="fr-FR" w:bidi="ru-RU"/>
        </w:rPr>
      </w:pPr>
      <w:r w:rsidRPr="00937622">
        <w:rPr>
          <w:lang w:val="fr-FR" w:bidi="ru-RU"/>
        </w:rPr>
        <w:t xml:space="preserve">L'audit de </w:t>
      </w:r>
      <w:r>
        <w:rPr>
          <w:lang w:val="fr-FR" w:bidi="ru-RU"/>
        </w:rPr>
        <w:t xml:space="preserve">la </w:t>
      </w:r>
      <w:r w:rsidRPr="00937622">
        <w:rPr>
          <w:lang w:val="fr-FR" w:bidi="ru-RU"/>
        </w:rPr>
        <w:t xml:space="preserve">performance est défini d'une manière qui souligne le rôle de l'audit à la fois dans la responsabilité de la gouvernance publique et dans l'amélioration de ses résultats (ISSAI 3100, 22). Le rapport d'audit de performance est censé expliquer en détail les problèmes qui entravent la performance afin d'encourager les actions correctives et, pour ce faire, devrait inclure des recommandations constructives pour l'amélioration des performances qui sont susceptibles de contribuer de manière significative à remédier aux faiblesses ou </w:t>
      </w:r>
      <w:r w:rsidR="00683902">
        <w:rPr>
          <w:lang w:val="fr-FR" w:bidi="ru-RU"/>
        </w:rPr>
        <w:t>aux problèmes mis au jour lors de l’audit</w:t>
      </w:r>
      <w:r w:rsidRPr="00937622">
        <w:rPr>
          <w:lang w:val="fr-FR" w:bidi="ru-RU"/>
        </w:rPr>
        <w:t xml:space="preserve"> (ISSAI 300, 39-40</w:t>
      </w:r>
      <w:r>
        <w:rPr>
          <w:lang w:val="fr-FR" w:bidi="ru-RU"/>
        </w:rPr>
        <w:t>).</w:t>
      </w:r>
    </w:p>
    <w:p w:rsidR="008F54C0" w:rsidRPr="00042E1F" w:rsidRDefault="007D2637" w:rsidP="008F54C0">
      <w:pPr>
        <w:pStyle w:val="a3"/>
        <w:numPr>
          <w:ilvl w:val="3"/>
          <w:numId w:val="6"/>
        </w:numPr>
        <w:spacing w:line="276" w:lineRule="auto"/>
        <w:ind w:hanging="594"/>
        <w:rPr>
          <w:lang w:val="fr-FR"/>
        </w:rPr>
      </w:pPr>
      <w:r w:rsidRPr="007D2637">
        <w:rPr>
          <w:lang w:val="fr-FR" w:bidi="ru-RU"/>
        </w:rPr>
        <w:t xml:space="preserve">Plus la structure du gouvernement devient complexe et interdépendante et plus l'environnement devient incertain en raison de la complexité croissante de la </w:t>
      </w:r>
      <w:r w:rsidRPr="007D2637">
        <w:rPr>
          <w:lang w:val="fr-FR" w:bidi="ru-RU"/>
        </w:rPr>
        <w:lastRenderedPageBreak/>
        <w:t>société, plus il devient évident que le gouvernement (les décideurs) a besoin de l'aide de la société civile, du secteur privé, des communautés de recherche et autres, y compris les ISC, pour identifier des problèmes et des solutions.</w:t>
      </w:r>
    </w:p>
    <w:p w:rsidR="008F54C0" w:rsidRPr="00042E1F" w:rsidRDefault="007D2637" w:rsidP="008F54C0">
      <w:pPr>
        <w:pStyle w:val="a3"/>
        <w:numPr>
          <w:ilvl w:val="3"/>
          <w:numId w:val="6"/>
        </w:numPr>
        <w:spacing w:line="276" w:lineRule="auto"/>
        <w:ind w:hanging="594"/>
        <w:rPr>
          <w:lang w:val="fr-FR"/>
        </w:rPr>
      </w:pPr>
      <w:r w:rsidRPr="007D2637">
        <w:rPr>
          <w:lang w:val="fr-FR" w:bidi="ru-RU"/>
        </w:rPr>
        <w:t>Les ISC peuvent jouer un rôle important dans l'accroissement de la confiance dans les gouvernements en imposant une plus grande transparence, en fournissant de nouvelles perspectives analytiques sur la gouvernance publique, en assurant la crédibilité des rapports et des données sur la performance, en faisant la lumière sur le processus décisionnel et politique, les domaines à haut risque, etc</w:t>
      </w:r>
      <w:r>
        <w:rPr>
          <w:lang w:val="fr-FR" w:bidi="ru-RU"/>
        </w:rPr>
        <w:t>.</w:t>
      </w:r>
    </w:p>
    <w:p w:rsidR="007D2637" w:rsidRPr="005E2018" w:rsidRDefault="007D2637" w:rsidP="007D2637">
      <w:pPr>
        <w:pStyle w:val="a3"/>
        <w:numPr>
          <w:ilvl w:val="3"/>
          <w:numId w:val="6"/>
        </w:numPr>
        <w:spacing w:line="276" w:lineRule="auto"/>
        <w:ind w:hanging="594"/>
        <w:rPr>
          <w:lang w:val="fr-FR"/>
        </w:rPr>
      </w:pPr>
      <w:r w:rsidRPr="005E2018">
        <w:rPr>
          <w:lang w:val="fr-FR"/>
        </w:rPr>
        <w:t>Les fonctions consultatives complètent l'évaluation effectuée dans le cadre des audits. Le conseil peut être effectué dans des moments autres que ceux qui sont typiques des fonctions d'audit. Comme il a été noté lors du XVIIe INCOSAI, la prestation de services consultatifs au cours des premières étapes d'un effort de réforme peut être utilisée en vue de façonner le programme de réforme et aider à améliorer le rendement et la responsabilité du gouvernement. Par exemple, conseiller au gouvernement d'introduire des systèmes de principaux indicateurs nationaux pourrait permettre d'introduire des considérations de durabilité d'une politique.</w:t>
      </w:r>
    </w:p>
    <w:p w:rsidR="008F54C0" w:rsidRPr="00042E1F" w:rsidRDefault="008F54C0" w:rsidP="0004007A">
      <w:pPr>
        <w:pStyle w:val="a3"/>
        <w:spacing w:line="276" w:lineRule="auto"/>
        <w:ind w:left="1728"/>
        <w:rPr>
          <w:lang w:val="fr-FR" w:bidi="ru-RU"/>
        </w:rPr>
      </w:pPr>
    </w:p>
    <w:p w:rsidR="008F185F" w:rsidRPr="00764224" w:rsidRDefault="0030019C" w:rsidP="0004007A">
      <w:pPr>
        <w:pStyle w:val="a3"/>
        <w:numPr>
          <w:ilvl w:val="2"/>
          <w:numId w:val="3"/>
        </w:numPr>
        <w:spacing w:line="276" w:lineRule="auto"/>
        <w:ind w:left="1224" w:hanging="657"/>
        <w:rPr>
          <w:lang w:val="fr-FR"/>
        </w:rPr>
      </w:pPr>
      <w:r w:rsidRPr="00764224">
        <w:rPr>
          <w:b/>
          <w:lang w:val="fr-FR" w:bidi="ru-RU"/>
        </w:rPr>
        <w:t xml:space="preserve">Le focus. </w:t>
      </w:r>
      <w:r w:rsidRPr="00764224">
        <w:rPr>
          <w:lang w:val="fr-FR" w:bidi="ru-RU"/>
        </w:rPr>
        <w:t>Traditionnellement, le travail d'audit se concentre sur l'identification rétrospective des irrégularités et des déficiences. Les ISC devraient non seulement s'attacher à trouver des exemples de bonnes pratiques susceptibles de déclencher des changements positifs et de servir de référence</w:t>
      </w:r>
      <w:r w:rsidR="0064756D" w:rsidRPr="00764224">
        <w:rPr>
          <w:lang w:val="fr-FR" w:bidi="ru-RU"/>
        </w:rPr>
        <w:t>s</w:t>
      </w:r>
      <w:r w:rsidRPr="00764224">
        <w:rPr>
          <w:lang w:val="fr-FR" w:bidi="ru-RU"/>
        </w:rPr>
        <w:t xml:space="preserve">, mais aussi </w:t>
      </w:r>
      <w:r w:rsidRPr="00764224">
        <w:rPr>
          <w:b/>
          <w:lang w:val="fr-FR" w:bidi="ru-RU"/>
        </w:rPr>
        <w:t>se concentrer sur une perspective plus large de la voie gouvernementale vers les résultats, notamment l'apprentissage et la capacité à prendre des mesures correctives.</w:t>
      </w:r>
    </w:p>
    <w:p w:rsidR="006E5076" w:rsidRPr="00042E1F" w:rsidRDefault="0064756D" w:rsidP="006E5076">
      <w:pPr>
        <w:pStyle w:val="a3"/>
        <w:numPr>
          <w:ilvl w:val="3"/>
          <w:numId w:val="4"/>
        </w:numPr>
        <w:spacing w:line="276" w:lineRule="auto"/>
        <w:ind w:hanging="594"/>
        <w:rPr>
          <w:lang w:val="fr-FR"/>
        </w:rPr>
      </w:pPr>
      <w:r w:rsidRPr="0064756D">
        <w:rPr>
          <w:lang w:val="fr-FR" w:bidi="ru-RU"/>
        </w:rPr>
        <w:t>Dans le cadre de leur trava</w:t>
      </w:r>
      <w:r>
        <w:rPr>
          <w:lang w:val="fr-FR" w:bidi="ru-RU"/>
        </w:rPr>
        <w:t>il</w:t>
      </w:r>
      <w:r w:rsidRPr="0064756D">
        <w:rPr>
          <w:lang w:val="fr-FR" w:bidi="ru-RU"/>
        </w:rPr>
        <w:t>, les ISC acquièrent un large éventail de compétences en matière de responsabilité et d'efficacité de la gouvernance publique (évaluation, mesure de la performance, planification stratégique, gestion financière, etc.) qui devraient être exploitées dans le cadre de leurs activités consultatives sur les questions liées à la réalisation des objectifs nationaux de développement durable</w:t>
      </w:r>
    </w:p>
    <w:p w:rsidR="0064756D" w:rsidRPr="00764224" w:rsidRDefault="00641060" w:rsidP="0004007A">
      <w:pPr>
        <w:pStyle w:val="a3"/>
        <w:numPr>
          <w:ilvl w:val="3"/>
          <w:numId w:val="4"/>
        </w:numPr>
        <w:spacing w:line="276" w:lineRule="auto"/>
        <w:ind w:hanging="594"/>
        <w:rPr>
          <w:lang w:val="fr-FR"/>
        </w:rPr>
      </w:pPr>
      <w:r w:rsidRPr="00764224">
        <w:rPr>
          <w:lang w:val="fr-FR"/>
        </w:rPr>
        <w:t>Les ISC devraient également examiner de près les questions stratégiques d'avenir qui sont cruciales pour le fonctionnement du gouvernement en période de réformes, récessions ou d'introduction de nouveaux principes de gouvernance (gestion des risques, systèmes de sécurité sociale, durabilité environnementale, etc.) Le choix d'un tel thème stratégique pourrait être considéré comme un bon point de départ pour les ISC disposant de ressources limitées ou celles qui se consacrent aux fonctions de l’audit de performance (ISSAI 3100).</w:t>
      </w:r>
    </w:p>
    <w:p w:rsidR="006E5076" w:rsidRPr="00042E1F" w:rsidRDefault="00C36F3B" w:rsidP="006E5076">
      <w:pPr>
        <w:pStyle w:val="a3"/>
        <w:numPr>
          <w:ilvl w:val="3"/>
          <w:numId w:val="4"/>
        </w:numPr>
        <w:spacing w:line="276" w:lineRule="auto"/>
        <w:ind w:hanging="594"/>
        <w:rPr>
          <w:lang w:val="fr-FR"/>
        </w:rPr>
      </w:pPr>
      <w:r w:rsidRPr="00C36F3B">
        <w:rPr>
          <w:lang w:val="fr-FR" w:bidi="ru-RU"/>
        </w:rPr>
        <w:lastRenderedPageBreak/>
        <w:t>La gouvernance entre les secteurs et les niveaux de gouvernement est cruciale pour favoriser la coordination et la coopération en vue d'atteindre les objectifs nationaux de développement durable et les ODD d'ici 2030. Outre les questions stratégiques orientées vers l'avenir, les ISC devraient également aborder les questions de gouvernance à plusieurs niveaux et de gestion de réseau dans leurs audits</w:t>
      </w:r>
      <w:r>
        <w:rPr>
          <w:lang w:val="fr-FR" w:bidi="ru-RU"/>
        </w:rPr>
        <w:t>.</w:t>
      </w:r>
    </w:p>
    <w:p w:rsidR="007148E7" w:rsidRPr="00042E1F" w:rsidRDefault="0018700E" w:rsidP="00EB1978">
      <w:pPr>
        <w:pStyle w:val="a3"/>
        <w:numPr>
          <w:ilvl w:val="3"/>
          <w:numId w:val="4"/>
        </w:numPr>
        <w:spacing w:line="276" w:lineRule="auto"/>
        <w:rPr>
          <w:lang w:val="fr-FR"/>
        </w:rPr>
      </w:pPr>
      <w:r w:rsidRPr="0018700E">
        <w:rPr>
          <w:lang w:val="fr-FR" w:bidi="ru-RU"/>
        </w:rPr>
        <w:t>Pour soutenir l'apprentissage, la recherche d'innovations, la mise en œuvre de nouvelles technologies, y compris de nouveaux styles de gestion au sein du gouvernement, les ISC devraient se concentrer sur les défis auxquels sont confrontés les gouvernements nationaux modernes en complétant leur approche critique de base tout en mettant l'accent sur les bonnes pratiques, les moyens de mobiliser les citoyens, les initiatives en matière de données ouvertes, les communications en temps réel avec les parties prenantes, et en comblant constamment les lacunes dans la reddition de comptes au cours du processus de changements structurels d'organisation gouvernementale</w:t>
      </w:r>
    </w:p>
    <w:p w:rsidR="00505BDF" w:rsidRPr="00D5549F" w:rsidRDefault="0018700E" w:rsidP="00D5549F">
      <w:pPr>
        <w:pStyle w:val="a3"/>
        <w:numPr>
          <w:ilvl w:val="2"/>
          <w:numId w:val="3"/>
        </w:numPr>
        <w:spacing w:line="276" w:lineRule="auto"/>
        <w:ind w:left="993" w:hanging="709"/>
        <w:rPr>
          <w:lang w:val="fr-FR" w:bidi="ru-RU"/>
        </w:rPr>
      </w:pPr>
      <w:r w:rsidRPr="00D5549F">
        <w:rPr>
          <w:b/>
          <w:lang w:val="fr-FR" w:bidi="ru-RU"/>
        </w:rPr>
        <w:t>Mesures.</w:t>
      </w:r>
      <w:r w:rsidRPr="00D5549F">
        <w:rPr>
          <w:lang w:val="fr-FR" w:bidi="ru-RU"/>
        </w:rPr>
        <w:t xml:space="preserve"> Les activités consultatives de l'ISC qui contribuent à la bonne gouvernance et à la réalisation des objectifs nationaux doivent non seulement s'inscrire dans le cadre du mandat légal de l'ISC, mais aussi défendre et promouvoir les principes des Déclarations de Lima et de Mexico (ISSAI 1, ISSAI 10) - préserver l'indépendance et garantir la meilleure utilisation possible des fonds publics d'une manière crédible, neutre et objective.</w:t>
      </w:r>
    </w:p>
    <w:p w:rsidR="00505BDF" w:rsidRPr="00042E1F" w:rsidRDefault="0018700E" w:rsidP="00FB6971">
      <w:pPr>
        <w:pStyle w:val="a3"/>
        <w:numPr>
          <w:ilvl w:val="3"/>
          <w:numId w:val="27"/>
        </w:numPr>
        <w:spacing w:line="276" w:lineRule="auto"/>
        <w:ind w:hanging="594"/>
        <w:rPr>
          <w:lang w:val="fr-FR" w:bidi="ru-RU"/>
        </w:rPr>
      </w:pPr>
      <w:r w:rsidRPr="0018700E">
        <w:rPr>
          <w:lang w:val="fr-FR" w:bidi="ru-RU"/>
        </w:rPr>
        <w:t xml:space="preserve">Les ISC devraient favoriser leurs relations avec les parlements et la société civile afin de répondre aux besoins et aux attentes des parties prenantes et de mettre en œuvre une stratégie solide de dotation et de développement du mandat </w:t>
      </w:r>
      <w:r>
        <w:rPr>
          <w:lang w:val="fr-FR" w:bidi="ru-RU"/>
        </w:rPr>
        <w:t xml:space="preserve">de conseil et de </w:t>
      </w:r>
      <w:r w:rsidRPr="0018700E">
        <w:rPr>
          <w:lang w:val="fr-FR" w:bidi="ru-RU"/>
        </w:rPr>
        <w:t>consulta</w:t>
      </w:r>
      <w:r>
        <w:rPr>
          <w:lang w:val="fr-FR" w:bidi="ru-RU"/>
        </w:rPr>
        <w:t>tion</w:t>
      </w:r>
      <w:r w:rsidRPr="0018700E">
        <w:rPr>
          <w:lang w:val="fr-FR" w:bidi="ru-RU"/>
        </w:rPr>
        <w:t xml:space="preserve"> de l'ISC</w:t>
      </w:r>
      <w:r>
        <w:rPr>
          <w:lang w:val="fr-FR" w:bidi="ru-RU"/>
        </w:rPr>
        <w:t>.</w:t>
      </w:r>
    </w:p>
    <w:p w:rsidR="00505BDF" w:rsidRPr="00042E1F" w:rsidRDefault="00D874CC" w:rsidP="004131B7">
      <w:pPr>
        <w:pStyle w:val="a3"/>
        <w:numPr>
          <w:ilvl w:val="3"/>
          <w:numId w:val="27"/>
        </w:numPr>
        <w:spacing w:line="276" w:lineRule="auto"/>
        <w:ind w:hanging="594"/>
        <w:rPr>
          <w:lang w:val="fr-FR"/>
        </w:rPr>
      </w:pPr>
      <w:r w:rsidRPr="00D874CC">
        <w:rPr>
          <w:lang w:val="fr-FR" w:bidi="ru-RU"/>
        </w:rPr>
        <w:t>Les ISC devraient garantir leur indépendance et leur position en évitant de s'immiscer dans le processus de prise de décision et d'élaboration des politiques, dans la gestion quotidienne et de critique des objectifs du gouvernement, mais ne devraient pas éviter les thèmes stratégiques, complexes et sensibles si le travail des ISC peut apporter une valeur ajoutée significative.</w:t>
      </w:r>
    </w:p>
    <w:p w:rsidR="00505BDF" w:rsidRPr="00042E1F" w:rsidRDefault="00D874CC" w:rsidP="004131B7">
      <w:pPr>
        <w:pStyle w:val="a3"/>
        <w:numPr>
          <w:ilvl w:val="3"/>
          <w:numId w:val="27"/>
        </w:numPr>
        <w:spacing w:line="276" w:lineRule="auto"/>
        <w:rPr>
          <w:lang w:val="fr-FR"/>
        </w:rPr>
      </w:pPr>
      <w:r w:rsidRPr="00D874CC">
        <w:rPr>
          <w:lang w:val="fr-FR" w:bidi="ru-RU"/>
        </w:rPr>
        <w:t>Du choix des thèmes à la communication des résultats, les ISC doivent mener leurs travaux sur la base de faits qui peuvent être examinés à chaque étape. Il faut trouver un équilibre entre la transparence et la confidentialité au sein de l'ISC</w:t>
      </w:r>
      <w:r>
        <w:rPr>
          <w:lang w:val="fr-FR" w:bidi="ru-RU"/>
        </w:rPr>
        <w:t>.</w:t>
      </w:r>
    </w:p>
    <w:p w:rsidR="00505BDF" w:rsidRPr="00042E1F" w:rsidRDefault="00D874CC" w:rsidP="00213157">
      <w:pPr>
        <w:pStyle w:val="a3"/>
        <w:numPr>
          <w:ilvl w:val="3"/>
          <w:numId w:val="27"/>
        </w:numPr>
        <w:spacing w:line="276" w:lineRule="auto"/>
        <w:rPr>
          <w:lang w:val="fr-FR"/>
        </w:rPr>
      </w:pPr>
      <w:r w:rsidRPr="00D874CC">
        <w:rPr>
          <w:lang w:val="fr-FR" w:bidi="ru-RU"/>
        </w:rPr>
        <w:t>Le travail consultatif de l'ISC ne doit pas se terminer par la publication d'un rapport thématique ou d'une prise de position, car la position de l'ISC doit être correctement communiquée aux parties prenantes et défendue lors des discussions (</w:t>
      </w:r>
      <w:r>
        <w:rPr>
          <w:lang w:val="fr-FR" w:bidi="ru-RU"/>
        </w:rPr>
        <w:t>Chapitre</w:t>
      </w:r>
      <w:r w:rsidRPr="00D874CC">
        <w:rPr>
          <w:lang w:val="fr-FR" w:bidi="ru-RU"/>
        </w:rPr>
        <w:t xml:space="preserve"> 4). Il est possible que les ISC aient besoin de </w:t>
      </w:r>
      <w:r w:rsidRPr="00D874CC">
        <w:rPr>
          <w:lang w:val="fr-FR" w:bidi="ru-RU"/>
        </w:rPr>
        <w:lastRenderedPageBreak/>
        <w:t>communiquer leurs résultats en s'engageant dans l'éducation pour promouvoir l'intérêt pour les résultats et les conclusions de l'ISC</w:t>
      </w:r>
      <w:r>
        <w:rPr>
          <w:lang w:val="fr-FR" w:bidi="ru-RU"/>
        </w:rPr>
        <w:t>.</w:t>
      </w:r>
    </w:p>
    <w:p w:rsidR="00D5549F" w:rsidRDefault="00D5549F">
      <w:pPr>
        <w:rPr>
          <w:lang w:val="fr-FR"/>
        </w:rPr>
      </w:pPr>
      <w:r>
        <w:rPr>
          <w:lang w:val="fr-FR"/>
        </w:rPr>
        <w:br w:type="page"/>
      </w:r>
    </w:p>
    <w:p w:rsidR="002F1CD4" w:rsidRPr="00D5549F" w:rsidRDefault="00E21699" w:rsidP="00D5549F">
      <w:pPr>
        <w:pStyle w:val="1"/>
        <w:ind w:left="567" w:hanging="567"/>
        <w:rPr>
          <w:lang w:val="fr-FR"/>
        </w:rPr>
      </w:pPr>
      <w:r>
        <w:rPr>
          <w:lang w:val="fr-FR"/>
        </w:rPr>
        <w:lastRenderedPageBreak/>
        <w:t>Prospective et analyse au sein des ISC</w:t>
      </w:r>
      <w:r w:rsidR="00034FDE" w:rsidRPr="00042E1F">
        <w:rPr>
          <w:lang w:val="fr-FR"/>
        </w:rPr>
        <w:t>.</w:t>
      </w:r>
      <w:r>
        <w:rPr>
          <w:lang w:val="fr-FR"/>
        </w:rPr>
        <w:t xml:space="preserve"> Stratégie de communication avancée. </w:t>
      </w:r>
    </w:p>
    <w:p w:rsidR="00584BDF" w:rsidRPr="00042E1F" w:rsidRDefault="00584BDF" w:rsidP="00584BDF">
      <w:pPr>
        <w:pStyle w:val="a3"/>
        <w:numPr>
          <w:ilvl w:val="0"/>
          <w:numId w:val="3"/>
        </w:numPr>
        <w:spacing w:line="276" w:lineRule="auto"/>
        <w:rPr>
          <w:b/>
          <w:vanish/>
          <w:lang w:val="fr-FR"/>
        </w:rPr>
      </w:pPr>
    </w:p>
    <w:p w:rsidR="00584BDF" w:rsidRPr="00042E1F" w:rsidRDefault="009520B1" w:rsidP="00584BDF">
      <w:pPr>
        <w:pStyle w:val="a3"/>
        <w:numPr>
          <w:ilvl w:val="1"/>
          <w:numId w:val="3"/>
        </w:numPr>
        <w:spacing w:line="276" w:lineRule="auto"/>
        <w:ind w:left="567" w:hanging="567"/>
        <w:rPr>
          <w:lang w:val="fr-FR"/>
        </w:rPr>
      </w:pPr>
      <w:r w:rsidRPr="0004007A">
        <w:rPr>
          <w:b/>
          <w:lang w:val="fr-FR" w:bidi="ru-RU"/>
        </w:rPr>
        <w:t>Fonction de recherche et d'analyse.</w:t>
      </w:r>
      <w:r w:rsidRPr="009520B1">
        <w:rPr>
          <w:lang w:val="fr-FR" w:bidi="ru-RU"/>
        </w:rPr>
        <w:t xml:space="preserve"> L'analyse et l'analytique des données est une innovation qui fait des données une ressource pour promouvoir l'efficience, la reddition de comptes, l'efficacité et la transparence de l'administration publique. Afin de réaliser le plein potentiel des ISC, il est crucial de renforcer les capacités de gestion, d'analyse et d'interprétation des données de performance et d'évaluation à des fins d'audit, de promouvoir la culture de l'évaluation et de la prospective au sein des ISC, de développer les compétences en évaluation de programmes, en analyse de données, en principaux indicateurs nationaux, en réflexion systémique, en évaluation de la cohérence politique etc. Les discussions sur la facilitation et le développement des capacités des ISC en matière de données et d'analyse sont encouragées</w:t>
      </w:r>
      <w:r w:rsidR="00040CAE" w:rsidRPr="00D5549F">
        <w:rPr>
          <w:rStyle w:val="af1"/>
          <w:lang w:val="fr-FR" w:bidi="ru-RU"/>
        </w:rPr>
        <w:footnoteReference w:id="11"/>
      </w:r>
      <w:r w:rsidR="00584BDF" w:rsidRPr="00042E1F">
        <w:rPr>
          <w:lang w:val="fr-FR" w:bidi="ru-RU"/>
        </w:rPr>
        <w:t xml:space="preserve">. </w:t>
      </w:r>
    </w:p>
    <w:p w:rsidR="00AF46E2" w:rsidRPr="00042E1F" w:rsidRDefault="00917E3F" w:rsidP="007908FD">
      <w:pPr>
        <w:pStyle w:val="a3"/>
        <w:numPr>
          <w:ilvl w:val="2"/>
          <w:numId w:val="3"/>
        </w:numPr>
        <w:spacing w:line="276" w:lineRule="auto"/>
        <w:ind w:left="1276" w:hanging="657"/>
        <w:rPr>
          <w:lang w:val="fr-FR"/>
        </w:rPr>
      </w:pPr>
      <w:r w:rsidRPr="0004007A">
        <w:rPr>
          <w:b/>
          <w:lang w:val="fr-FR" w:bidi="ru-RU"/>
        </w:rPr>
        <w:t>Nouvelles exigences en matière d'analyse dans les ISC</w:t>
      </w:r>
      <w:r w:rsidRPr="00917E3F">
        <w:rPr>
          <w:lang w:val="fr-FR" w:bidi="ru-RU"/>
        </w:rPr>
        <w:t xml:space="preserve">. Les changements technologiques continus associés à l'augmentation de la quantité d'information vérifiée imposent des exigences accrues aux capacités analytiques des </w:t>
      </w:r>
      <w:r>
        <w:rPr>
          <w:lang w:val="fr-FR" w:bidi="ru-RU"/>
        </w:rPr>
        <w:t>auditeurs,</w:t>
      </w:r>
      <w:r w:rsidRPr="00917E3F">
        <w:rPr>
          <w:lang w:val="fr-FR" w:bidi="ru-RU"/>
        </w:rPr>
        <w:t xml:space="preserve"> par exemple</w:t>
      </w:r>
      <w:r>
        <w:rPr>
          <w:lang w:val="fr-FR" w:bidi="ru-RU"/>
        </w:rPr>
        <w:t> :</w:t>
      </w:r>
    </w:p>
    <w:p w:rsidR="00AF46E2" w:rsidRPr="00042E1F" w:rsidRDefault="00917E3F" w:rsidP="007A6AC1">
      <w:pPr>
        <w:pStyle w:val="a3"/>
        <w:numPr>
          <w:ilvl w:val="3"/>
          <w:numId w:val="8"/>
        </w:numPr>
        <w:spacing w:line="276" w:lineRule="auto"/>
        <w:ind w:hanging="452"/>
        <w:rPr>
          <w:lang w:val="fr-FR"/>
        </w:rPr>
      </w:pPr>
      <w:r w:rsidRPr="00917E3F">
        <w:rPr>
          <w:lang w:val="fr-FR" w:bidi="ru-RU"/>
        </w:rPr>
        <w:t xml:space="preserve">l'analyse qualitative (travail avec des documents stratégiques, des ensembles </w:t>
      </w:r>
      <w:r>
        <w:rPr>
          <w:lang w:val="fr-FR" w:bidi="ru-RU"/>
        </w:rPr>
        <w:t xml:space="preserve">de principaux </w:t>
      </w:r>
      <w:r w:rsidRPr="00917E3F">
        <w:rPr>
          <w:lang w:val="fr-FR" w:bidi="ru-RU"/>
        </w:rPr>
        <w:t xml:space="preserve">indicateurs et des </w:t>
      </w:r>
      <w:r>
        <w:rPr>
          <w:lang w:val="fr-FR" w:bidi="ru-RU"/>
        </w:rPr>
        <w:t xml:space="preserve">principaux </w:t>
      </w:r>
      <w:r w:rsidRPr="00917E3F">
        <w:rPr>
          <w:lang w:val="fr-FR" w:bidi="ru-RU"/>
        </w:rPr>
        <w:t>indicateurs nationaux, etc</w:t>
      </w:r>
      <w:r>
        <w:rPr>
          <w:lang w:val="fr-FR" w:bidi="ru-RU"/>
        </w:rPr>
        <w:t>.)</w:t>
      </w:r>
      <w:r w:rsidRPr="00917E3F">
        <w:rPr>
          <w:lang w:val="fr-FR" w:bidi="ru-RU"/>
        </w:rPr>
        <w:t xml:space="preserve"> ;</w:t>
      </w:r>
    </w:p>
    <w:p w:rsidR="00AF46E2" w:rsidRPr="00042E1F" w:rsidRDefault="00917E3F" w:rsidP="007A6AC1">
      <w:pPr>
        <w:pStyle w:val="a3"/>
        <w:numPr>
          <w:ilvl w:val="3"/>
          <w:numId w:val="8"/>
        </w:numPr>
        <w:spacing w:line="276" w:lineRule="auto"/>
        <w:ind w:hanging="452"/>
        <w:rPr>
          <w:lang w:val="fr-FR"/>
        </w:rPr>
      </w:pPr>
      <w:r w:rsidRPr="00917E3F">
        <w:rPr>
          <w:lang w:val="fr-FR" w:bidi="ru-RU"/>
        </w:rPr>
        <w:t>l'analyse quantitative (travail avec des données individuelles, des ensembles de données et des bases de données, visualisation et présentation de données complexes)</w:t>
      </w:r>
      <w:r>
        <w:rPr>
          <w:lang w:val="fr-FR" w:bidi="ru-RU"/>
        </w:rPr>
        <w:t>.</w:t>
      </w:r>
    </w:p>
    <w:p w:rsidR="00D6641B" w:rsidRPr="00042E1F" w:rsidRDefault="00917E3F" w:rsidP="00D6641B">
      <w:pPr>
        <w:pStyle w:val="a3"/>
        <w:spacing w:line="276" w:lineRule="auto"/>
        <w:ind w:left="1224"/>
        <w:rPr>
          <w:lang w:val="fr-FR" w:bidi="ru-RU"/>
        </w:rPr>
      </w:pPr>
      <w:r w:rsidRPr="00917E3F">
        <w:rPr>
          <w:lang w:val="fr-FR" w:bidi="ru-RU"/>
        </w:rPr>
        <w:t>Parmi les nouvelles demandes en matière d'analyse dans certaines ISC, on peut citer la demande croissante d'analyses prospectives. La demande d'audit de haute qualité est un défi tant sur le plan de la quantité et que de la qualité des ressources requises</w:t>
      </w:r>
      <w:r>
        <w:rPr>
          <w:lang w:val="fr-FR" w:bidi="ru-RU"/>
        </w:rPr>
        <w:t>.</w:t>
      </w:r>
    </w:p>
    <w:p w:rsidR="00AF46E2" w:rsidRPr="00D5549F" w:rsidRDefault="00FB459C" w:rsidP="007908FD">
      <w:pPr>
        <w:pStyle w:val="a3"/>
        <w:numPr>
          <w:ilvl w:val="2"/>
          <w:numId w:val="3"/>
        </w:numPr>
        <w:spacing w:line="276" w:lineRule="auto"/>
        <w:ind w:left="1276" w:hanging="709"/>
        <w:rPr>
          <w:lang w:val="fr-FR"/>
        </w:rPr>
      </w:pPr>
      <w:r w:rsidRPr="00D5549F">
        <w:rPr>
          <w:b/>
          <w:lang w:val="fr-FR" w:bidi="ru-RU"/>
        </w:rPr>
        <w:t>De nouvelles compétences</w:t>
      </w:r>
      <w:r w:rsidRPr="00D5549F">
        <w:rPr>
          <w:lang w:val="fr-FR" w:bidi="ru-RU"/>
        </w:rPr>
        <w:t>. En ce qui concerne les profils d'emploi et les compétences, les ISC auraient également besoin d'une formation académique et d'aptitudes différentes de la normale (statistiques, sociologie, économie, psychologie, mathématiques, etc.)</w:t>
      </w:r>
      <w:r w:rsidR="00DB66AD" w:rsidRPr="00D5549F">
        <w:rPr>
          <w:rStyle w:val="af1"/>
          <w:lang w:val="fr-FR" w:bidi="ru-RU"/>
        </w:rPr>
        <w:footnoteReference w:id="12"/>
      </w:r>
      <w:r w:rsidR="00DB66AD" w:rsidRPr="00D5549F">
        <w:rPr>
          <w:lang w:val="fr-FR" w:bidi="ru-RU"/>
        </w:rPr>
        <w:t xml:space="preserve">. </w:t>
      </w:r>
      <w:r w:rsidRPr="00D5549F">
        <w:rPr>
          <w:lang w:val="fr-FR" w:bidi="ru-RU"/>
        </w:rPr>
        <w:t>En ce qui concern</w:t>
      </w:r>
      <w:r w:rsidR="00D5549F">
        <w:rPr>
          <w:lang w:val="fr-FR" w:bidi="ru-RU"/>
        </w:rPr>
        <w:t>e le renforcement des capacités</w:t>
      </w:r>
      <w:r w:rsidR="00AF46E2" w:rsidRPr="00D5549F">
        <w:rPr>
          <w:lang w:val="fr-FR" w:bidi="ru-RU"/>
        </w:rPr>
        <w:t>:</w:t>
      </w:r>
    </w:p>
    <w:p w:rsidR="00AF46E2" w:rsidRPr="00042E1F" w:rsidRDefault="00FB459C" w:rsidP="00C2034E">
      <w:pPr>
        <w:pStyle w:val="a3"/>
        <w:numPr>
          <w:ilvl w:val="3"/>
          <w:numId w:val="30"/>
        </w:numPr>
        <w:spacing w:line="276" w:lineRule="auto"/>
        <w:rPr>
          <w:lang w:val="fr-FR"/>
        </w:rPr>
      </w:pPr>
      <w:r w:rsidRPr="00FB459C">
        <w:rPr>
          <w:lang w:val="fr-FR" w:bidi="ru-RU"/>
        </w:rPr>
        <w:lastRenderedPageBreak/>
        <w:t>L'INTOSAI devrait faciliter l'élévation des compétences de l'ensemble du personnel actuel du secteur public à un niveau professionnel acceptable</w:t>
      </w:r>
      <w:r>
        <w:rPr>
          <w:lang w:val="fr-FR" w:bidi="ru-RU"/>
        </w:rPr>
        <w:t xml:space="preserve"> </w:t>
      </w:r>
      <w:r w:rsidR="00AF46E2" w:rsidRPr="00042E1F">
        <w:rPr>
          <w:lang w:val="fr-FR" w:bidi="ru-RU"/>
        </w:rPr>
        <w:t xml:space="preserve">; </w:t>
      </w:r>
    </w:p>
    <w:p w:rsidR="00DB66AD" w:rsidRPr="00042E1F" w:rsidRDefault="006A1942" w:rsidP="00DB66AD">
      <w:pPr>
        <w:pStyle w:val="a3"/>
        <w:numPr>
          <w:ilvl w:val="3"/>
          <w:numId w:val="30"/>
        </w:numPr>
        <w:spacing w:line="276" w:lineRule="auto"/>
        <w:rPr>
          <w:lang w:val="fr-FR" w:bidi="ru-RU"/>
        </w:rPr>
      </w:pPr>
      <w:r w:rsidRPr="006A1942">
        <w:rPr>
          <w:lang w:val="fr-FR" w:bidi="ru-RU"/>
        </w:rPr>
        <w:t xml:space="preserve">Les ISC devraient former les </w:t>
      </w:r>
      <w:r>
        <w:rPr>
          <w:lang w:val="fr-FR" w:bidi="ru-RU"/>
        </w:rPr>
        <w:t>« </w:t>
      </w:r>
      <w:r w:rsidRPr="006A1942">
        <w:rPr>
          <w:lang w:val="fr-FR" w:bidi="ru-RU"/>
        </w:rPr>
        <w:t>auditeurs de l'avenir</w:t>
      </w:r>
      <w:r>
        <w:rPr>
          <w:lang w:val="fr-FR" w:bidi="ru-RU"/>
        </w:rPr>
        <w:t> »</w:t>
      </w:r>
      <w:r w:rsidRPr="006A1942">
        <w:rPr>
          <w:lang w:val="fr-FR" w:bidi="ru-RU"/>
        </w:rPr>
        <w:t xml:space="preserve"> - des personnes au sein des ISC capables de relever les défis de l'avenir, notamment en utilisant l'analyse des données et l'innovation, en étant des échangeurs de connaissances, des producteurs de prévoyance, etc</w:t>
      </w:r>
      <w:r>
        <w:rPr>
          <w:lang w:val="fr-FR" w:bidi="ru-RU"/>
        </w:rPr>
        <w:t>.</w:t>
      </w:r>
    </w:p>
    <w:p w:rsidR="00DB66AD" w:rsidRPr="00042E1F" w:rsidRDefault="006A1942" w:rsidP="007908FD">
      <w:pPr>
        <w:pStyle w:val="a3"/>
        <w:numPr>
          <w:ilvl w:val="2"/>
          <w:numId w:val="3"/>
        </w:numPr>
        <w:spacing w:line="276" w:lineRule="auto"/>
        <w:ind w:left="1418" w:hanging="851"/>
        <w:rPr>
          <w:b/>
          <w:lang w:val="fr-FR"/>
        </w:rPr>
      </w:pPr>
      <w:r w:rsidRPr="0004007A">
        <w:rPr>
          <w:b/>
          <w:lang w:val="fr-FR" w:bidi="ru-RU"/>
        </w:rPr>
        <w:t>Formation en matière de données et d'analyse pour les audits de performance</w:t>
      </w:r>
      <w:r w:rsidRPr="006A1942">
        <w:rPr>
          <w:lang w:val="fr-FR" w:bidi="ru-RU"/>
        </w:rPr>
        <w:t>. Pour préserver leur indépendance et assurer leur pertinence, les ISC doivent comprendre que la pertinence des ISC est principalement déterminée par la qualité de leur travail, qui dépend à son tour des compétences du personnel. Les ISC seront de plus en plus impliquées dans le traitement d'une grande quantité de données complexes et devront savoir comment les traiter pour maintenir et améliorer leur pertinence.</w:t>
      </w:r>
    </w:p>
    <w:p w:rsidR="00DB66AD" w:rsidRPr="00042E1F" w:rsidRDefault="00A546C2" w:rsidP="007908FD">
      <w:pPr>
        <w:pStyle w:val="a3"/>
        <w:numPr>
          <w:ilvl w:val="2"/>
          <w:numId w:val="3"/>
        </w:numPr>
        <w:spacing w:line="276" w:lineRule="auto"/>
        <w:ind w:left="1276" w:hanging="709"/>
        <w:rPr>
          <w:lang w:val="fr-FR"/>
        </w:rPr>
      </w:pPr>
      <w:r w:rsidRPr="00042E1F">
        <w:rPr>
          <w:b/>
          <w:lang w:val="fr-FR" w:bidi="ru-RU"/>
        </w:rPr>
        <w:t>Les nouvelles solutions d</w:t>
      </w:r>
      <w:r w:rsidR="001425F3">
        <w:rPr>
          <w:b/>
          <w:lang w:val="fr-FR" w:bidi="ru-RU"/>
        </w:rPr>
        <w:t>’</w:t>
      </w:r>
      <w:r w:rsidRPr="00042E1F">
        <w:rPr>
          <w:b/>
          <w:lang w:val="fr-FR" w:bidi="ru-RU"/>
        </w:rPr>
        <w:t>organisation</w:t>
      </w:r>
      <w:r w:rsidR="00DB66AD" w:rsidRPr="00042E1F">
        <w:rPr>
          <w:b/>
          <w:lang w:val="fr-FR" w:bidi="ru-RU"/>
        </w:rPr>
        <w:t xml:space="preserve">. </w:t>
      </w:r>
      <w:r w:rsidRPr="00042E1F">
        <w:rPr>
          <w:lang w:val="fr-FR" w:bidi="ru-RU"/>
        </w:rPr>
        <w:t xml:space="preserve">Les </w:t>
      </w:r>
      <w:r w:rsidR="000C2C52" w:rsidRPr="00042E1F">
        <w:rPr>
          <w:lang w:val="fr-FR" w:bidi="ru-RU"/>
        </w:rPr>
        <w:t>ISA</w:t>
      </w:r>
      <w:r w:rsidR="00DB66AD" w:rsidRPr="00042E1F">
        <w:rPr>
          <w:lang w:val="fr-FR" w:bidi="ru-RU"/>
        </w:rPr>
        <w:t xml:space="preserve"> </w:t>
      </w:r>
      <w:r w:rsidRPr="00042E1F">
        <w:rPr>
          <w:lang w:val="fr-FR" w:bidi="ru-RU"/>
        </w:rPr>
        <w:t>ont besoin d</w:t>
      </w:r>
      <w:r w:rsidR="001425F3">
        <w:rPr>
          <w:lang w:val="fr-FR" w:bidi="ru-RU"/>
        </w:rPr>
        <w:t>’</w:t>
      </w:r>
      <w:r w:rsidRPr="00042E1F">
        <w:rPr>
          <w:b/>
          <w:lang w:val="fr-FR" w:bidi="ru-RU"/>
        </w:rPr>
        <w:t>une</w:t>
      </w:r>
      <w:r w:rsidR="00DB66AD" w:rsidRPr="00042E1F">
        <w:rPr>
          <w:lang w:val="fr-FR" w:bidi="ru-RU"/>
        </w:rPr>
        <w:t xml:space="preserve"> </w:t>
      </w:r>
      <w:r w:rsidRPr="00042E1F">
        <w:rPr>
          <w:b/>
          <w:lang w:val="fr-FR" w:bidi="ru-RU"/>
        </w:rPr>
        <w:t>équipe d</w:t>
      </w:r>
      <w:r w:rsidR="001425F3">
        <w:rPr>
          <w:b/>
          <w:lang w:val="fr-FR" w:bidi="ru-RU"/>
        </w:rPr>
        <w:t>’</w:t>
      </w:r>
      <w:r w:rsidR="00122BED" w:rsidRPr="00042E1F">
        <w:rPr>
          <w:b/>
          <w:lang w:val="fr-FR" w:bidi="ru-RU"/>
        </w:rPr>
        <w:t>analystes</w:t>
      </w:r>
      <w:r w:rsidRPr="00042E1F">
        <w:rPr>
          <w:b/>
          <w:lang w:val="fr-FR" w:bidi="ru-RU"/>
        </w:rPr>
        <w:t xml:space="preserve"> préparée scientifiquement</w:t>
      </w:r>
      <w:r w:rsidR="00DB66AD" w:rsidRPr="00042E1F">
        <w:rPr>
          <w:b/>
          <w:lang w:val="fr-FR" w:bidi="ru-RU"/>
        </w:rPr>
        <w:t xml:space="preserve"> </w:t>
      </w:r>
      <w:r w:rsidRPr="00042E1F">
        <w:rPr>
          <w:b/>
          <w:lang w:val="fr-FR" w:bidi="ru-RU"/>
        </w:rPr>
        <w:t>pour améliorer les capacités des ISA</w:t>
      </w:r>
      <w:r w:rsidR="00DB66AD" w:rsidRPr="00042E1F">
        <w:rPr>
          <w:b/>
          <w:lang w:val="fr-FR" w:bidi="ru-RU"/>
        </w:rPr>
        <w:t xml:space="preserve"> </w:t>
      </w:r>
      <w:r w:rsidRPr="00042E1F">
        <w:rPr>
          <w:lang w:val="fr-FR" w:bidi="ru-RU"/>
        </w:rPr>
        <w:t>en matière de</w:t>
      </w:r>
      <w:r w:rsidR="00DB66AD" w:rsidRPr="00042E1F">
        <w:rPr>
          <w:lang w:val="fr-FR" w:bidi="ru-RU"/>
        </w:rPr>
        <w:t xml:space="preserve"> </w:t>
      </w:r>
      <w:r w:rsidRPr="00042E1F">
        <w:rPr>
          <w:lang w:val="fr-FR" w:bidi="ru-RU"/>
        </w:rPr>
        <w:t>l</w:t>
      </w:r>
      <w:r w:rsidR="001425F3">
        <w:rPr>
          <w:lang w:val="fr-FR" w:bidi="ru-RU"/>
        </w:rPr>
        <w:t>’</w:t>
      </w:r>
      <w:r w:rsidRPr="00042E1F">
        <w:rPr>
          <w:lang w:val="fr-FR" w:bidi="ru-RU"/>
        </w:rPr>
        <w:t>utilisation des résultats de la révolution numérique et de l</w:t>
      </w:r>
      <w:r w:rsidR="001425F3">
        <w:rPr>
          <w:lang w:val="fr-FR" w:bidi="ru-RU"/>
        </w:rPr>
        <w:t>’</w:t>
      </w:r>
      <w:r w:rsidRPr="00042E1F">
        <w:rPr>
          <w:lang w:val="fr-FR" w:bidi="ru-RU"/>
        </w:rPr>
        <w:t>analyse des données</w:t>
      </w:r>
      <w:r w:rsidR="00DB66AD" w:rsidRPr="00042E1F">
        <w:rPr>
          <w:lang w:val="fr-FR" w:bidi="ru-RU"/>
        </w:rPr>
        <w:t xml:space="preserve">. </w:t>
      </w:r>
      <w:r w:rsidRPr="00042E1F">
        <w:rPr>
          <w:lang w:val="fr-FR" w:bidi="ru-RU"/>
        </w:rPr>
        <w:t>Pour renforcer leurs capacités analytiques, les</w:t>
      </w:r>
      <w:r w:rsidR="00DB66AD" w:rsidRPr="00042E1F">
        <w:rPr>
          <w:lang w:val="fr-FR" w:bidi="ru-RU"/>
        </w:rPr>
        <w:t xml:space="preserve"> </w:t>
      </w:r>
      <w:r w:rsidR="000C2C52" w:rsidRPr="00042E1F">
        <w:rPr>
          <w:lang w:val="fr-FR" w:bidi="ru-RU"/>
        </w:rPr>
        <w:t>ISA</w:t>
      </w:r>
      <w:r w:rsidR="00DB66AD" w:rsidRPr="00042E1F">
        <w:rPr>
          <w:lang w:val="fr-FR" w:bidi="ru-RU"/>
        </w:rPr>
        <w:t xml:space="preserve"> </w:t>
      </w:r>
      <w:r w:rsidRPr="00042E1F">
        <w:rPr>
          <w:lang w:val="fr-FR" w:bidi="ru-RU"/>
        </w:rPr>
        <w:t>pourrait créer des unités analytiques séparées pour</w:t>
      </w:r>
      <w:r w:rsidR="00105876" w:rsidRPr="00042E1F">
        <w:rPr>
          <w:lang w:val="fr-FR" w:bidi="ru-RU"/>
        </w:rPr>
        <w:t xml:space="preserve"> résoudre</w:t>
      </w:r>
      <w:r w:rsidRPr="00042E1F">
        <w:rPr>
          <w:lang w:val="fr-FR" w:bidi="ru-RU"/>
        </w:rPr>
        <w:t xml:space="preserve"> des tâches spécifiques</w:t>
      </w:r>
      <w:r w:rsidR="00DB66AD" w:rsidRPr="00042E1F">
        <w:rPr>
          <w:lang w:val="fr-FR" w:bidi="ru-RU"/>
        </w:rPr>
        <w:t xml:space="preserve"> (</w:t>
      </w:r>
      <w:r w:rsidR="00105876" w:rsidRPr="00042E1F">
        <w:rPr>
          <w:lang w:val="fr-FR" w:bidi="ru-RU"/>
        </w:rPr>
        <w:t>la gestion des risques, l</w:t>
      </w:r>
      <w:r w:rsidR="001425F3">
        <w:rPr>
          <w:lang w:val="fr-FR" w:bidi="ru-RU"/>
        </w:rPr>
        <w:t>’</w:t>
      </w:r>
      <w:r w:rsidR="00105876" w:rsidRPr="00042E1F">
        <w:rPr>
          <w:lang w:val="fr-FR" w:bidi="ru-RU"/>
        </w:rPr>
        <w:t>analyse de données</w:t>
      </w:r>
      <w:r w:rsidR="00DB66AD" w:rsidRPr="00042E1F">
        <w:rPr>
          <w:lang w:val="fr-FR" w:bidi="ru-RU"/>
        </w:rPr>
        <w:t xml:space="preserve">, </w:t>
      </w:r>
      <w:r w:rsidR="00105876" w:rsidRPr="00042E1F">
        <w:rPr>
          <w:lang w:val="fr-FR" w:bidi="ru-RU"/>
        </w:rPr>
        <w:t>l</w:t>
      </w:r>
      <w:r w:rsidR="001425F3">
        <w:rPr>
          <w:lang w:val="fr-FR" w:bidi="ru-RU"/>
        </w:rPr>
        <w:t>’</w:t>
      </w:r>
      <w:r w:rsidR="00105876" w:rsidRPr="00042E1F">
        <w:rPr>
          <w:lang w:val="fr-FR" w:bidi="ru-RU"/>
        </w:rPr>
        <w:t>évaluation de l</w:t>
      </w:r>
      <w:r w:rsidR="001425F3">
        <w:rPr>
          <w:lang w:val="fr-FR" w:bidi="ru-RU"/>
        </w:rPr>
        <w:t>’</w:t>
      </w:r>
      <w:r w:rsidR="00105876" w:rsidRPr="00042E1F">
        <w:rPr>
          <w:lang w:val="fr-FR" w:bidi="ru-RU"/>
        </w:rPr>
        <w:t xml:space="preserve">efficacité de projets et </w:t>
      </w:r>
      <w:r w:rsidR="00122BED" w:rsidRPr="00042E1F">
        <w:rPr>
          <w:lang w:val="fr-FR" w:bidi="ru-RU"/>
        </w:rPr>
        <w:t xml:space="preserve">de </w:t>
      </w:r>
      <w:r w:rsidR="00105876" w:rsidRPr="00042E1F">
        <w:rPr>
          <w:lang w:val="fr-FR" w:bidi="ru-RU"/>
        </w:rPr>
        <w:t>programmes</w:t>
      </w:r>
      <w:r w:rsidR="00DB66AD" w:rsidRPr="00042E1F">
        <w:rPr>
          <w:i/>
          <w:lang w:val="fr-FR" w:bidi="ru-RU"/>
        </w:rPr>
        <w:t xml:space="preserve"> </w:t>
      </w:r>
      <w:r w:rsidR="00105876" w:rsidRPr="00042E1F">
        <w:rPr>
          <w:lang w:val="fr-FR" w:bidi="ru-RU"/>
        </w:rPr>
        <w:t>etc</w:t>
      </w:r>
      <w:r w:rsidR="00DB66AD" w:rsidRPr="00042E1F">
        <w:rPr>
          <w:lang w:val="fr-FR" w:bidi="ru-RU"/>
        </w:rPr>
        <w:t>.).</w:t>
      </w:r>
      <w:r w:rsidR="00DB66AD" w:rsidRPr="00042E1F">
        <w:rPr>
          <w:lang w:val="fr-FR"/>
        </w:rPr>
        <w:t xml:space="preserve"> </w:t>
      </w:r>
      <w:r w:rsidR="00105876" w:rsidRPr="00042E1F">
        <w:rPr>
          <w:lang w:val="fr-FR" w:bidi="ru-RU"/>
        </w:rPr>
        <w:t>Cependant,</w:t>
      </w:r>
      <w:r w:rsidR="00A942BA" w:rsidRPr="00042E1F">
        <w:rPr>
          <w:lang w:val="fr-FR" w:bidi="ru-RU"/>
        </w:rPr>
        <w:t xml:space="preserve"> </w:t>
      </w:r>
      <w:r w:rsidR="00105876" w:rsidRPr="00042E1F">
        <w:rPr>
          <w:lang w:val="fr-FR" w:bidi="ru-RU"/>
        </w:rPr>
        <w:t>une structure analytique centralisée est plus facile à organiser</w:t>
      </w:r>
      <w:r w:rsidR="00C17592" w:rsidRPr="00042E1F">
        <w:rPr>
          <w:lang w:val="fr-FR" w:bidi="ru-RU"/>
        </w:rPr>
        <w:t xml:space="preserve">, </w:t>
      </w:r>
      <w:r w:rsidR="00105876" w:rsidRPr="00042E1F">
        <w:rPr>
          <w:lang w:val="fr-FR" w:bidi="ru-RU"/>
        </w:rPr>
        <w:t>mais une structure décentralisée a l</w:t>
      </w:r>
      <w:r w:rsidR="001425F3">
        <w:rPr>
          <w:lang w:val="fr-FR" w:bidi="ru-RU"/>
        </w:rPr>
        <w:t>’</w:t>
      </w:r>
      <w:r w:rsidR="00105876" w:rsidRPr="00042E1F">
        <w:rPr>
          <w:lang w:val="fr-FR" w:bidi="ru-RU"/>
        </w:rPr>
        <w:t>avantage de</w:t>
      </w:r>
      <w:r w:rsidR="00122BED" w:rsidRPr="00042E1F">
        <w:rPr>
          <w:lang w:val="fr-FR" w:bidi="ru-RU"/>
        </w:rPr>
        <w:t xml:space="preserve"> la disponibilité de</w:t>
      </w:r>
      <w:r w:rsidR="00105876" w:rsidRPr="00042E1F">
        <w:rPr>
          <w:lang w:val="fr-FR" w:bidi="ru-RU"/>
        </w:rPr>
        <w:t xml:space="preserve"> compétences sectoriels chez ses employés</w:t>
      </w:r>
      <w:r w:rsidR="00A942BA" w:rsidRPr="00042E1F">
        <w:rPr>
          <w:lang w:val="fr-FR" w:bidi="ru-RU"/>
        </w:rPr>
        <w:t>.</w:t>
      </w:r>
      <w:r w:rsidR="00541305">
        <w:rPr>
          <w:lang w:val="fr-FR" w:bidi="ru-RU"/>
        </w:rPr>
        <w:t xml:space="preserve"> </w:t>
      </w:r>
      <w:r w:rsidR="00541305" w:rsidRPr="0004007A">
        <w:rPr>
          <w:b/>
          <w:lang w:val="fr-FR" w:bidi="ru-RU"/>
        </w:rPr>
        <w:t>Nouvelles solutions organisationnelles</w:t>
      </w:r>
      <w:r w:rsidR="00541305" w:rsidRPr="00541305">
        <w:rPr>
          <w:lang w:val="fr-FR" w:bidi="ru-RU"/>
        </w:rPr>
        <w:t xml:space="preserve">. Les ISC ont besoin </w:t>
      </w:r>
      <w:r w:rsidR="00541305" w:rsidRPr="0004007A">
        <w:rPr>
          <w:b/>
          <w:lang w:val="fr-FR" w:bidi="ru-RU"/>
        </w:rPr>
        <w:t xml:space="preserve">d'une équipe d'analystes scientifiquement formés pour renforcer la </w:t>
      </w:r>
      <w:r w:rsidR="00911E6D">
        <w:rPr>
          <w:b/>
          <w:lang w:val="fr-FR" w:bidi="ru-RU"/>
        </w:rPr>
        <w:t>« </w:t>
      </w:r>
      <w:r w:rsidR="00541305" w:rsidRPr="0004007A">
        <w:rPr>
          <w:b/>
          <w:lang w:val="fr-FR" w:bidi="ru-RU"/>
        </w:rPr>
        <w:t>capacité réceptive</w:t>
      </w:r>
      <w:r w:rsidR="00911E6D">
        <w:rPr>
          <w:b/>
          <w:lang w:val="fr-FR" w:bidi="ru-RU"/>
        </w:rPr>
        <w:t> »</w:t>
      </w:r>
      <w:r w:rsidR="00541305" w:rsidRPr="0004007A">
        <w:rPr>
          <w:b/>
          <w:lang w:val="fr-FR" w:bidi="ru-RU"/>
        </w:rPr>
        <w:t xml:space="preserve"> de l'institution supérieure de contrôle</w:t>
      </w:r>
      <w:r w:rsidR="00911E6D">
        <w:rPr>
          <w:b/>
          <w:lang w:val="fr-FR" w:bidi="ru-RU"/>
        </w:rPr>
        <w:t xml:space="preserve"> des finances publiques</w:t>
      </w:r>
      <w:r w:rsidR="00541305" w:rsidRPr="00541305">
        <w:rPr>
          <w:lang w:val="fr-FR" w:bidi="ru-RU"/>
        </w:rPr>
        <w:t>, afin de tirer parti des possibilités offertes par la révolution numérique et l'analyse des données. Pour renforcer leur potentiel analytique, les ISC peuvent créer des unités d'analyse distinctes pour traiter des problèmes particuliers (compréhension des risques et gestion des risques, analyse des données, évaluation, etc.) Toutefois, si la mise en place d'une structure centralisée serait relativement plus facile, la structure décentralisée présente l'avantage de la disponibilité (les compétences analytiques seraient disponibles auprès du personnel ayant une expertise dans le domaine)</w:t>
      </w:r>
      <w:r w:rsidR="00911E6D">
        <w:rPr>
          <w:lang w:val="fr-FR" w:bidi="ru-RU"/>
        </w:rPr>
        <w:t>.</w:t>
      </w:r>
    </w:p>
    <w:p w:rsidR="005345A8" w:rsidRPr="0004007A" w:rsidRDefault="005345A8" w:rsidP="0004007A">
      <w:pPr>
        <w:pStyle w:val="a3"/>
        <w:numPr>
          <w:ilvl w:val="1"/>
          <w:numId w:val="3"/>
        </w:numPr>
        <w:ind w:left="567" w:hanging="567"/>
        <w:rPr>
          <w:lang w:val="fr-FR" w:bidi="ru-RU"/>
        </w:rPr>
      </w:pPr>
      <w:r w:rsidRPr="0004007A">
        <w:rPr>
          <w:b/>
          <w:color w:val="000000" w:themeColor="text1"/>
          <w:lang w:val="fr-FR" w:bidi="ru-RU"/>
        </w:rPr>
        <w:t>Communiquer de nouveaux rôles et résultats</w:t>
      </w:r>
      <w:r w:rsidRPr="005345A8">
        <w:rPr>
          <w:lang w:val="fr-FR" w:bidi="ru-RU"/>
        </w:rPr>
        <w:t xml:space="preserve">. Les ISC doivent mieux faire connaître leur rôle de contrôle afin d'avoir une incidence positive sur les ISC en réduisant l'écart entre les ISC et leurs parties prenantes, en particulier les citoyens, en partageant leur savoir-faire, en présentant les résultats pertinents de manière claire et efficace et en utilisant les meilleurs outils de communication pour atteindre un public plus large. Les ISC devraient communiquer les résultats de leurs activités dans un langage clair et simple, en </w:t>
      </w:r>
      <w:r w:rsidRPr="005345A8">
        <w:rPr>
          <w:lang w:val="fr-FR" w:bidi="ru-RU"/>
        </w:rPr>
        <w:lastRenderedPageBreak/>
        <w:t>utilisant différents outils de communication et en tenant compte des différentes demandes de leur public cible.</w:t>
      </w:r>
    </w:p>
    <w:p w:rsidR="002979CC" w:rsidRPr="005E2018" w:rsidRDefault="005345A8" w:rsidP="001F028D">
      <w:pPr>
        <w:pStyle w:val="a3"/>
        <w:numPr>
          <w:ilvl w:val="2"/>
          <w:numId w:val="3"/>
        </w:numPr>
        <w:spacing w:line="276" w:lineRule="auto"/>
        <w:ind w:left="1701" w:hanging="992"/>
        <w:rPr>
          <w:lang w:val="fr-FR"/>
        </w:rPr>
      </w:pPr>
      <w:r w:rsidRPr="00F36E82">
        <w:rPr>
          <w:lang w:val="fr-FR" w:bidi="ru-RU"/>
        </w:rPr>
        <w:t xml:space="preserve">L'approche prospective des ISC exige une stratégie de communication avancée qui clarifie et explique les questions complexes liées au contrôle intégré, à l'évaluation des programmes et aux activités de conseil de l'ISC. </w:t>
      </w:r>
      <w:r w:rsidRPr="005E2018">
        <w:rPr>
          <w:lang w:val="fr-FR" w:bidi="ru-RU"/>
        </w:rPr>
        <w:t>Les ISC doivent se doter d'une stratégie de communication globale :</w:t>
      </w:r>
    </w:p>
    <w:p w:rsidR="002979CC" w:rsidRPr="00042E1F" w:rsidRDefault="005345A8" w:rsidP="002979CC">
      <w:pPr>
        <w:pStyle w:val="a3"/>
        <w:numPr>
          <w:ilvl w:val="3"/>
          <w:numId w:val="3"/>
        </w:numPr>
        <w:spacing w:line="276" w:lineRule="auto"/>
        <w:rPr>
          <w:lang w:val="fr-FR"/>
        </w:rPr>
      </w:pPr>
      <w:r w:rsidRPr="005345A8">
        <w:rPr>
          <w:lang w:val="fr-FR"/>
        </w:rPr>
        <w:t>la communication de leur nouveau rôle et de leur nouvelle approche afin que les parties prenantes soient des partisans actifs du travail des ISC</w:t>
      </w:r>
      <w:r>
        <w:rPr>
          <w:lang w:val="fr-FR"/>
        </w:rPr>
        <w:t> ;</w:t>
      </w:r>
    </w:p>
    <w:p w:rsidR="002979CC" w:rsidRPr="00042E1F" w:rsidRDefault="00E33AC3" w:rsidP="002979CC">
      <w:pPr>
        <w:pStyle w:val="a3"/>
        <w:numPr>
          <w:ilvl w:val="3"/>
          <w:numId w:val="3"/>
        </w:numPr>
        <w:spacing w:line="276" w:lineRule="auto"/>
        <w:rPr>
          <w:lang w:val="fr-FR"/>
        </w:rPr>
      </w:pPr>
      <w:r>
        <w:rPr>
          <w:lang w:val="fr-FR"/>
        </w:rPr>
        <w:t>l</w:t>
      </w:r>
      <w:r w:rsidR="0074546C" w:rsidRPr="005E2018">
        <w:rPr>
          <w:lang w:val="fr-FR"/>
        </w:rPr>
        <w:t>a communication de leurs résultats en gardant à l'esprit les différentes demandes de ses parties prenantes. Il faut connaître la théorie du changement dans un domaine politique, donc la relation entre les activités, les produits, les résultats et, en fin de compte, l'impact, afin de pouvoir expliquer pourquoi l'échec politique est important, pourquoi agir est nécessaire, ce que l'ISC tente d'accomplir en l'auditant.</w:t>
      </w:r>
      <w:r w:rsidR="002979CC" w:rsidRPr="00042E1F">
        <w:rPr>
          <w:lang w:val="fr-FR" w:bidi="ru-RU"/>
        </w:rPr>
        <w:t xml:space="preserve"> </w:t>
      </w:r>
    </w:p>
    <w:p w:rsidR="0074546C" w:rsidRPr="0074546C" w:rsidRDefault="0074546C" w:rsidP="001F028D">
      <w:pPr>
        <w:pStyle w:val="a3"/>
        <w:numPr>
          <w:ilvl w:val="2"/>
          <w:numId w:val="3"/>
        </w:numPr>
        <w:ind w:left="1701" w:hanging="992"/>
        <w:rPr>
          <w:lang w:val="fr-FR" w:bidi="ru-RU"/>
        </w:rPr>
      </w:pPr>
      <w:r w:rsidRPr="0074546C">
        <w:rPr>
          <w:lang w:val="fr-FR" w:bidi="ru-RU"/>
        </w:rPr>
        <w:t xml:space="preserve">De nos jours, les utilisateurs cibles doivent non seulement percevoir passivement l'information, mais aussi </w:t>
      </w:r>
      <w:r w:rsidRPr="0004007A">
        <w:rPr>
          <w:b/>
          <w:lang w:val="fr-FR" w:bidi="ru-RU"/>
        </w:rPr>
        <w:t>participer activement aux activités des ISC</w:t>
      </w:r>
      <w:r w:rsidRPr="0074546C">
        <w:rPr>
          <w:lang w:val="fr-FR" w:bidi="ru-RU"/>
        </w:rPr>
        <w:t xml:space="preserve"> qui visent à améliorer la bonne gouvernance. Les citoyens et les autres parties prenantes devraient donc être associés à ce processus. Les ISC devraient également rechercher de nouveaux moyens et outils pour communiquer leur rôle et leurs résultats (par exemple, les applications mobiles, les médias sociaux, etc</w:t>
      </w:r>
      <w:r>
        <w:rPr>
          <w:lang w:val="fr-FR" w:bidi="ru-RU"/>
        </w:rPr>
        <w:t>.)</w:t>
      </w:r>
    </w:p>
    <w:p w:rsidR="00A30472" w:rsidRPr="00042E1F" w:rsidRDefault="0074546C" w:rsidP="001F028D">
      <w:pPr>
        <w:pStyle w:val="a3"/>
        <w:numPr>
          <w:ilvl w:val="2"/>
          <w:numId w:val="3"/>
        </w:numPr>
        <w:spacing w:line="276" w:lineRule="auto"/>
        <w:ind w:left="1701" w:hanging="992"/>
        <w:rPr>
          <w:lang w:val="fr-FR"/>
        </w:rPr>
      </w:pPr>
      <w:r w:rsidRPr="0004007A">
        <w:rPr>
          <w:b/>
          <w:lang w:val="fr-FR" w:bidi="ru-RU"/>
        </w:rPr>
        <w:t>Visualisation des données</w:t>
      </w:r>
      <w:r w:rsidRPr="0074546C">
        <w:rPr>
          <w:lang w:val="fr-FR" w:bidi="ru-RU"/>
        </w:rPr>
        <w:t>. La visualisation des données n'est pas seulement une première étape de l'analyse des données, c'est aussi un moyen solide et efficace de représentation des données qui évite la surcharge d'informations en simplifiant des concepts complexes. Une représentation visuelle conviviale des résultats complexes des travaux des ISC est essentielle pour transmettre les principaux messages des ISC aux parties prenantes</w:t>
      </w:r>
      <w:r>
        <w:rPr>
          <w:lang w:val="fr-FR" w:bidi="ru-RU"/>
        </w:rPr>
        <w:t>.</w:t>
      </w:r>
    </w:p>
    <w:p w:rsidR="00E33AC3" w:rsidRDefault="0074546C" w:rsidP="001F028D">
      <w:pPr>
        <w:pStyle w:val="a3"/>
        <w:numPr>
          <w:ilvl w:val="2"/>
          <w:numId w:val="3"/>
        </w:numPr>
        <w:spacing w:line="276" w:lineRule="auto"/>
        <w:ind w:left="1701" w:hanging="992"/>
        <w:rPr>
          <w:b/>
          <w:lang w:val="fr-FR" w:bidi="ru-RU"/>
        </w:rPr>
      </w:pPr>
      <w:r w:rsidRPr="0074546C">
        <w:rPr>
          <w:b/>
          <w:lang w:val="fr-FR" w:bidi="ru-RU"/>
        </w:rPr>
        <w:t>Collaboration avec des universités et des instituts de recherche</w:t>
      </w:r>
      <w:r w:rsidR="00EA756C">
        <w:rPr>
          <w:b/>
          <w:lang w:val="fr-FR" w:bidi="ru-RU"/>
        </w:rPr>
        <w:t xml:space="preserve">. </w:t>
      </w:r>
      <w:r w:rsidR="00EA756C" w:rsidRPr="0004007A">
        <w:rPr>
          <w:lang w:val="fr-FR" w:bidi="ru-RU"/>
        </w:rPr>
        <w:t>L</w:t>
      </w:r>
      <w:r w:rsidRPr="0004007A">
        <w:rPr>
          <w:lang w:val="fr-FR" w:bidi="ru-RU"/>
        </w:rPr>
        <w:t>es ISC</w:t>
      </w:r>
      <w:r w:rsidRPr="0074546C">
        <w:rPr>
          <w:b/>
          <w:lang w:val="fr-FR" w:bidi="ru-RU"/>
        </w:rPr>
        <w:t xml:space="preserve"> </w:t>
      </w:r>
      <w:r w:rsidRPr="0004007A">
        <w:rPr>
          <w:lang w:val="fr-FR" w:bidi="ru-RU"/>
        </w:rPr>
        <w:t>devraient</w:t>
      </w:r>
      <w:r w:rsidRPr="0074546C">
        <w:rPr>
          <w:b/>
          <w:lang w:val="fr-FR" w:bidi="ru-RU"/>
        </w:rPr>
        <w:t xml:space="preserve"> améliorer leur communication avec la communauté des experts - </w:t>
      </w:r>
      <w:r w:rsidRPr="0004007A">
        <w:rPr>
          <w:lang w:val="fr-FR" w:bidi="ru-RU"/>
        </w:rPr>
        <w:t>une source précieuse d'informations pertinentes et d'avis d'experts. Les gouvernements doivent subir des pressions pour qu'ils adoptent des politiques fondées sur des données probantes et qu'ils collaborent plus efficacement à la recherche. Les ISC pourraient également</w:t>
      </w:r>
      <w:r w:rsidRPr="0074546C">
        <w:rPr>
          <w:b/>
          <w:lang w:val="fr-FR" w:bidi="ru-RU"/>
        </w:rPr>
        <w:t xml:space="preserve"> tirer profit de l'utilisation d'études de recherche et du développement de leur travail méthodologique en appliquant des méthodes de recherche</w:t>
      </w:r>
      <w:r w:rsidR="00EA756C">
        <w:rPr>
          <w:b/>
          <w:lang w:val="fr-FR" w:bidi="ru-RU"/>
        </w:rPr>
        <w:t>.</w:t>
      </w:r>
    </w:p>
    <w:p w:rsidR="00E33AC3" w:rsidRDefault="00E33AC3">
      <w:pPr>
        <w:rPr>
          <w:rFonts w:ascii="Times New Roman" w:hAnsi="Times New Roman" w:cs="Times New Roman"/>
          <w:b/>
          <w:sz w:val="24"/>
          <w:szCs w:val="24"/>
          <w:lang w:val="fr-FR" w:bidi="ru-RU"/>
        </w:rPr>
      </w:pPr>
      <w:r>
        <w:rPr>
          <w:b/>
          <w:lang w:val="fr-FR" w:bidi="ru-RU"/>
        </w:rPr>
        <w:br w:type="page"/>
      </w:r>
    </w:p>
    <w:p w:rsidR="002B016C" w:rsidRPr="00042E1F" w:rsidRDefault="008A3772" w:rsidP="00BA6B68">
      <w:pPr>
        <w:pStyle w:val="1"/>
        <w:ind w:left="567" w:hanging="567"/>
        <w:rPr>
          <w:lang w:val="fr-FR"/>
        </w:rPr>
      </w:pPr>
      <w:r>
        <w:rPr>
          <w:lang w:val="fr-FR"/>
        </w:rPr>
        <w:lastRenderedPageBreak/>
        <w:t>Principaux thèmes à aborder</w:t>
      </w:r>
    </w:p>
    <w:p w:rsidR="00410D24" w:rsidRPr="00042E1F" w:rsidRDefault="00410D24" w:rsidP="00E33AC3">
      <w:pPr>
        <w:pStyle w:val="a3"/>
        <w:numPr>
          <w:ilvl w:val="0"/>
          <w:numId w:val="31"/>
        </w:numPr>
        <w:spacing w:line="276" w:lineRule="auto"/>
        <w:rPr>
          <w:vanish/>
          <w:lang w:val="fr-FR"/>
        </w:rPr>
      </w:pPr>
    </w:p>
    <w:p w:rsidR="00410D24" w:rsidRPr="00042E1F" w:rsidRDefault="008A3772" w:rsidP="00410D24">
      <w:pPr>
        <w:pStyle w:val="a3"/>
        <w:numPr>
          <w:ilvl w:val="1"/>
          <w:numId w:val="31"/>
        </w:numPr>
        <w:spacing w:line="276" w:lineRule="auto"/>
        <w:ind w:left="567" w:hanging="567"/>
        <w:rPr>
          <w:lang w:val="fr-FR"/>
        </w:rPr>
      </w:pPr>
      <w:r w:rsidRPr="008A3772">
        <w:rPr>
          <w:lang w:val="fr-FR" w:bidi="ru-RU"/>
        </w:rPr>
        <w:t xml:space="preserve">La nouvelle ère de la révolution numérique et des données, mais le manque de confiance dans le gouvernement et la complexité croissante de ses structures et de ses relations façonnent plusieurs thèmes essentiels liés aux activités d'audit et de conseil des ISC. L'accroissement de la complexité et de la différenciation des </w:t>
      </w:r>
      <w:r>
        <w:rPr>
          <w:lang w:val="fr-FR" w:bidi="ru-RU"/>
        </w:rPr>
        <w:t>« </w:t>
      </w:r>
      <w:r w:rsidRPr="008A3772">
        <w:rPr>
          <w:lang w:val="fr-FR" w:bidi="ru-RU"/>
        </w:rPr>
        <w:t>mécanismes</w:t>
      </w:r>
      <w:r>
        <w:rPr>
          <w:lang w:val="fr-FR" w:bidi="ru-RU"/>
        </w:rPr>
        <w:t> »</w:t>
      </w:r>
      <w:r w:rsidRPr="008A3772">
        <w:rPr>
          <w:lang w:val="fr-FR" w:bidi="ru-RU"/>
        </w:rPr>
        <w:t xml:space="preserve"> du gouvernement exige une attention particulière à la transparence et à la reddition de comptes.</w:t>
      </w:r>
    </w:p>
    <w:p w:rsidR="00410D24" w:rsidRPr="00042E1F" w:rsidRDefault="00886A49" w:rsidP="00364B3D">
      <w:pPr>
        <w:pStyle w:val="a3"/>
        <w:numPr>
          <w:ilvl w:val="1"/>
          <w:numId w:val="31"/>
        </w:numPr>
        <w:spacing w:line="276" w:lineRule="auto"/>
        <w:ind w:left="567" w:hanging="567"/>
        <w:rPr>
          <w:b/>
          <w:lang w:val="fr-FR"/>
        </w:rPr>
      </w:pPr>
      <w:r w:rsidRPr="0004007A">
        <w:rPr>
          <w:b/>
          <w:lang w:val="fr-FR" w:bidi="ru-RU"/>
        </w:rPr>
        <w:t>Renforcer la collaboration dans la poursuite des objectifs nationaux</w:t>
      </w:r>
      <w:r w:rsidRPr="00886A49">
        <w:rPr>
          <w:lang w:val="fr-FR" w:bidi="ru-RU"/>
        </w:rPr>
        <w:t>.  Au sein du gouvernement, la création de réseaux et la promotion de la collaboration sont essentielles à la réalisation des objectifs nationaux et du Programme de développement durable à l'horizon 2030. Il est de plus en plus admis que les gouvernements ne peuvent atteindre leurs objectifs sans collaboration, coopération et gestion de réseau, c'est-à-dire sans collaboration intra- et extra-gouvernementale - à cette fin, les ISC devront également renforcer leur capacité à collaborer avec diverses parties prenantes et à exercer une influence positive</w:t>
      </w:r>
      <w:r>
        <w:rPr>
          <w:lang w:val="fr-FR" w:bidi="ru-RU"/>
        </w:rPr>
        <w:t>.</w:t>
      </w:r>
    </w:p>
    <w:p w:rsidR="00B10DC5" w:rsidRPr="00042E1F" w:rsidRDefault="00886A49" w:rsidP="00B10DC5">
      <w:pPr>
        <w:pStyle w:val="a3"/>
        <w:numPr>
          <w:ilvl w:val="2"/>
          <w:numId w:val="31"/>
        </w:numPr>
        <w:spacing w:line="276" w:lineRule="auto"/>
        <w:ind w:hanging="798"/>
        <w:rPr>
          <w:lang w:val="fr-FR"/>
        </w:rPr>
      </w:pPr>
      <w:r w:rsidRPr="00886A49">
        <w:rPr>
          <w:lang w:val="fr-FR" w:bidi="ru-RU"/>
        </w:rPr>
        <w:t xml:space="preserve">Des efforts concertés entre les organismes, les ordres de gouvernement, les secteurs et le public sont nécessaires à la mise en œuvre efficace des politiques et à la prestation des services. </w:t>
      </w:r>
      <w:r w:rsidRPr="0004007A">
        <w:rPr>
          <w:b/>
          <w:lang w:val="fr-FR" w:bidi="ru-RU"/>
        </w:rPr>
        <w:t xml:space="preserve">Les ISC doivent mettre l'accent sur les avantages et les coûts d'un gouvernement collaboratif </w:t>
      </w:r>
      <w:r w:rsidRPr="00886A49">
        <w:rPr>
          <w:lang w:val="fr-FR" w:bidi="ru-RU"/>
        </w:rPr>
        <w:t>et attirer l'attention sur le manque de coordination, le manque de clarté des rôles et des responsabilités</w:t>
      </w:r>
      <w:r>
        <w:rPr>
          <w:lang w:val="fr-FR" w:bidi="ru-RU"/>
        </w:rPr>
        <w:t xml:space="preserve"> et</w:t>
      </w:r>
      <w:r w:rsidRPr="00886A49">
        <w:rPr>
          <w:lang w:val="fr-FR" w:bidi="ru-RU"/>
        </w:rPr>
        <w:t xml:space="preserve"> les lacunes dans la gestion des risques au sein du gouvernement.</w:t>
      </w:r>
    </w:p>
    <w:p w:rsidR="00B10DC5" w:rsidRPr="00042E1F" w:rsidRDefault="00600264" w:rsidP="00B10DC5">
      <w:pPr>
        <w:pStyle w:val="a3"/>
        <w:numPr>
          <w:ilvl w:val="2"/>
          <w:numId w:val="31"/>
        </w:numPr>
        <w:spacing w:line="276" w:lineRule="auto"/>
        <w:ind w:hanging="798"/>
        <w:rPr>
          <w:lang w:val="fr-FR"/>
        </w:rPr>
      </w:pPr>
      <w:r w:rsidRPr="005E2018">
        <w:rPr>
          <w:lang w:val="fr-FR"/>
        </w:rPr>
        <w:t xml:space="preserve">Reconnaissant que la </w:t>
      </w:r>
      <w:r w:rsidRPr="005E2018">
        <w:rPr>
          <w:b/>
          <w:lang w:val="fr-FR"/>
        </w:rPr>
        <w:t>cohérence des politiques est essentielle à la réalisation des objectifs nationaux</w:t>
      </w:r>
      <w:r w:rsidRPr="005E2018">
        <w:rPr>
          <w:lang w:val="fr-FR"/>
        </w:rPr>
        <w:t>, les ISC doivent évaluer la coordination entre les différents niveaux de gouvernement, évaluer les synergies positives ou négatives entre les programmes publics, les politiques, les plans (stratégies), identifier les interactions politiques, les retombées, les effets non intentionnels et les conflits.</w:t>
      </w:r>
    </w:p>
    <w:p w:rsidR="00364B3D" w:rsidRPr="00042E1F" w:rsidRDefault="00600264" w:rsidP="00364B3D">
      <w:pPr>
        <w:pStyle w:val="a3"/>
        <w:numPr>
          <w:ilvl w:val="2"/>
          <w:numId w:val="31"/>
        </w:numPr>
        <w:spacing w:line="276" w:lineRule="auto"/>
        <w:ind w:hanging="798"/>
        <w:rPr>
          <w:lang w:val="fr-FR" w:bidi="ru-RU"/>
        </w:rPr>
      </w:pPr>
      <w:r w:rsidRPr="00600264">
        <w:rPr>
          <w:lang w:val="fr-FR" w:bidi="ru-RU"/>
        </w:rPr>
        <w:t xml:space="preserve">Le renforcement de la capacité des gouvernements à atteindre les objectifs nationaux par la mise en œuvre de politiques cohérentes implique (a) la nécessité d'une mesure et d'une gestion appropriées des résultats du gouvernement plutôt que des résultats d'un programme ou d'une entité publique particulier ; (b) la nécessité d'adopter une approche </w:t>
      </w:r>
      <w:r>
        <w:rPr>
          <w:lang w:val="fr-FR" w:bidi="ru-RU"/>
        </w:rPr>
        <w:t>« </w:t>
      </w:r>
      <w:r w:rsidRPr="00600264">
        <w:rPr>
          <w:lang w:val="fr-FR" w:bidi="ru-RU"/>
        </w:rPr>
        <w:t>pangouvernementale</w:t>
      </w:r>
      <w:r>
        <w:rPr>
          <w:lang w:val="fr-FR" w:bidi="ru-RU"/>
        </w:rPr>
        <w:t> »</w:t>
      </w:r>
      <w:r w:rsidRPr="00600264">
        <w:rPr>
          <w:lang w:val="fr-FR" w:bidi="ru-RU"/>
        </w:rPr>
        <w:t xml:space="preserve"> pour assurer une réponse gouvernementale intégrée à certains problèmes publics et domaines à risque ; (c) un changement correspondant et pertinent dans les objectifs des audits des ISC</w:t>
      </w:r>
      <w:r>
        <w:rPr>
          <w:lang w:val="fr-FR" w:bidi="ru-RU"/>
        </w:rPr>
        <w:t>.</w:t>
      </w:r>
    </w:p>
    <w:p w:rsidR="004930B0" w:rsidRDefault="00600264" w:rsidP="004930B0">
      <w:pPr>
        <w:pStyle w:val="a3"/>
        <w:numPr>
          <w:ilvl w:val="2"/>
          <w:numId w:val="31"/>
        </w:numPr>
        <w:spacing w:line="276" w:lineRule="auto"/>
        <w:ind w:hanging="798"/>
        <w:rPr>
          <w:lang w:val="fr-FR"/>
        </w:rPr>
      </w:pPr>
      <w:r w:rsidRPr="00600264">
        <w:rPr>
          <w:lang w:val="fr-FR" w:bidi="ru-RU"/>
        </w:rPr>
        <w:t xml:space="preserve">Les efforts du gouvernement pour atteindre les objectifs nationaux ne seront pas couronnés de succès </w:t>
      </w:r>
      <w:r w:rsidRPr="0004007A">
        <w:rPr>
          <w:b/>
          <w:lang w:val="fr-FR" w:bidi="ru-RU"/>
        </w:rPr>
        <w:t>sans la sensibilisation du public et l'engagement civique</w:t>
      </w:r>
      <w:r w:rsidRPr="00600264">
        <w:rPr>
          <w:lang w:val="fr-FR" w:bidi="ru-RU"/>
        </w:rPr>
        <w:t xml:space="preserve">. Les gouvernements ont besoin d'efforts et de stratégies plus systématiques pour un gouvernement ouvert et un engagement civique afin de favoriser des moyens </w:t>
      </w:r>
      <w:r w:rsidRPr="00600264">
        <w:rPr>
          <w:lang w:val="fr-FR" w:bidi="ru-RU"/>
        </w:rPr>
        <w:lastRenderedPageBreak/>
        <w:t xml:space="preserve">constructifs de communication entre les décideurs et le public. Les ISC doivent mettre l'accent à la fois sur les risques et les opportunités de la transformation numérique de la société et du gouvernement et souligner les avantages et les moyens des outils de collaboration au sein du gouvernement pour tirer parti du potentiel du public (c'est-à-dire les </w:t>
      </w:r>
      <w:r w:rsidR="00A75CE1">
        <w:rPr>
          <w:lang w:val="fr-FR" w:bidi="ru-RU"/>
        </w:rPr>
        <w:t>« </w:t>
      </w:r>
      <w:r w:rsidRPr="00600264">
        <w:rPr>
          <w:lang w:val="fr-FR" w:bidi="ru-RU"/>
        </w:rPr>
        <w:t>hackathons</w:t>
      </w:r>
      <w:r w:rsidR="00A75CE1">
        <w:rPr>
          <w:lang w:val="fr-FR" w:bidi="ru-RU"/>
        </w:rPr>
        <w:t> »</w:t>
      </w:r>
      <w:r w:rsidRPr="00600264">
        <w:rPr>
          <w:lang w:val="fr-FR" w:bidi="ru-RU"/>
        </w:rPr>
        <w:t xml:space="preserve">, les réunions et concours scientifiques sur les données, le </w:t>
      </w:r>
      <w:r>
        <w:rPr>
          <w:lang w:val="fr-FR" w:bidi="ru-RU"/>
        </w:rPr>
        <w:t>« </w:t>
      </w:r>
      <w:r w:rsidRPr="00600264">
        <w:rPr>
          <w:lang w:val="fr-FR" w:bidi="ru-RU"/>
        </w:rPr>
        <w:t>crowdsourcing</w:t>
      </w:r>
      <w:r>
        <w:rPr>
          <w:lang w:val="fr-FR" w:bidi="ru-RU"/>
        </w:rPr>
        <w:t> »</w:t>
      </w:r>
      <w:r w:rsidRPr="00600264">
        <w:rPr>
          <w:lang w:val="fr-FR" w:bidi="ru-RU"/>
        </w:rPr>
        <w:t>, etc.</w:t>
      </w:r>
      <w:r>
        <w:rPr>
          <w:lang w:val="fr-FR" w:bidi="ru-RU"/>
        </w:rPr>
        <w:t>).</w:t>
      </w:r>
      <w:r w:rsidRPr="00600264">
        <w:rPr>
          <w:lang w:val="fr-FR" w:bidi="ru-RU"/>
        </w:rPr>
        <w:t xml:space="preserve"> Ces outils de collaboration catalysent la communication et l'inspiration dans la communauté publique, permettent la concentration des efforts et encouragent des solutions novatrices aux défis publics formulés comme des problèmes clairement définis avec les paramètres d'un résultat</w:t>
      </w:r>
      <w:r w:rsidR="00A75CE1">
        <w:rPr>
          <w:lang w:val="fr-FR" w:bidi="ru-RU"/>
        </w:rPr>
        <w:t>.</w:t>
      </w:r>
    </w:p>
    <w:p w:rsidR="000B5460" w:rsidRDefault="000B5460" w:rsidP="000B5460">
      <w:pPr>
        <w:pStyle w:val="a3"/>
        <w:spacing w:line="276" w:lineRule="auto"/>
        <w:ind w:left="1224"/>
        <w:rPr>
          <w:lang w:val="fr-FR"/>
        </w:rPr>
      </w:pPr>
      <w:r w:rsidRPr="00A75CE1">
        <w:rPr>
          <w:lang w:val="fr-FR" w:bidi="ru-RU"/>
        </w:rPr>
        <w:t xml:space="preserve">Le rôle </w:t>
      </w:r>
      <w:r>
        <w:rPr>
          <w:lang w:val="fr-FR" w:bidi="ru-RU"/>
        </w:rPr>
        <w:t>principal</w:t>
      </w:r>
      <w:r w:rsidRPr="00A75CE1">
        <w:rPr>
          <w:lang w:val="fr-FR" w:bidi="ru-RU"/>
        </w:rPr>
        <w:t xml:space="preserve"> des ISC </w:t>
      </w:r>
      <w:r w:rsidRPr="0004007A">
        <w:rPr>
          <w:b/>
          <w:lang w:val="fr-FR" w:bidi="ru-RU"/>
        </w:rPr>
        <w:t>dans la promotion de la transparence de l'accès du public et de la société civile à l'information publique sous forme de données ouvertes</w:t>
      </w:r>
      <w:r w:rsidRPr="00A75CE1">
        <w:rPr>
          <w:lang w:val="fr-FR" w:bidi="ru-RU"/>
        </w:rPr>
        <w:t xml:space="preserve"> a été souligné dans les recommandations du 24</w:t>
      </w:r>
      <w:r w:rsidRPr="0004007A">
        <w:rPr>
          <w:vertAlign w:val="superscript"/>
          <w:lang w:val="fr-FR" w:bidi="ru-RU"/>
        </w:rPr>
        <w:t>ème</w:t>
      </w:r>
      <w:r w:rsidRPr="00A75CE1">
        <w:rPr>
          <w:lang w:val="fr-FR" w:bidi="ru-RU"/>
        </w:rPr>
        <w:t xml:space="preserve"> Symposium ONU/INTOSAI. Les ISC pourraient informer et guider les gouvernements sur les avantages de l'ouverture des données publiques en fournissant des publications aux fonctionnaires afin de les sensibiliser et de diffuser les meilleures pratiques en matière de données publiques. La discussion sur la publication des résultats de l'ISC sous forme de données ouvertes devrait également être facilitée</w:t>
      </w:r>
      <w:r>
        <w:rPr>
          <w:lang w:val="fr-FR" w:bidi="ru-RU"/>
        </w:rPr>
        <w:t>.</w:t>
      </w:r>
    </w:p>
    <w:p w:rsidR="000B5460" w:rsidRPr="00042E1F" w:rsidRDefault="000B5460" w:rsidP="000B5460">
      <w:pPr>
        <w:pStyle w:val="a3"/>
        <w:spacing w:line="276" w:lineRule="auto"/>
        <w:ind w:left="1224"/>
        <w:rPr>
          <w:lang w:val="fr-FR" w:bidi="ru-RU"/>
        </w:rPr>
      </w:pPr>
      <w:r w:rsidRPr="00A75CE1">
        <w:rPr>
          <w:lang w:val="fr-FR" w:bidi="ru-RU"/>
        </w:rPr>
        <w:t xml:space="preserve">Les ISC devraient également </w:t>
      </w:r>
      <w:r w:rsidRPr="0004007A">
        <w:rPr>
          <w:b/>
          <w:lang w:val="fr-FR" w:bidi="ru-RU"/>
        </w:rPr>
        <w:t>promouvoir le principe de la disponibilité et de la transparence des données produites par le gouvernement</w:t>
      </w:r>
      <w:r w:rsidRPr="00A75CE1">
        <w:rPr>
          <w:lang w:val="fr-FR" w:bidi="ru-RU"/>
        </w:rPr>
        <w:t xml:space="preserve"> si les lois sur la confidentialité ou les préoccupations relatives à la vie privée ne l'excluent pas. Ce principe cède la place à un nouveau paradigme analytique pour le gouvernement, les secteurs public et privé ainsi que les ISC. Plus important encore, l'utilisation efficace des données publiques contribue à une plus grande transparence et à une plus grande responsabilité du gouvernement</w:t>
      </w:r>
    </w:p>
    <w:p w:rsidR="000B5460" w:rsidRDefault="000B5460" w:rsidP="000B5460">
      <w:pPr>
        <w:pStyle w:val="a3"/>
        <w:spacing w:line="276" w:lineRule="auto"/>
        <w:ind w:left="1224"/>
        <w:rPr>
          <w:lang w:val="fr-FR" w:bidi="ru-RU"/>
        </w:rPr>
      </w:pPr>
      <w:r w:rsidRPr="007D66F2">
        <w:rPr>
          <w:lang w:val="fr-FR" w:bidi="ru-RU"/>
        </w:rPr>
        <w:t xml:space="preserve">La position unique des ISC au sein du secteur public fait également référence aux données produites et publiées. L'avantage des ISC est qu'elles peuvent vérifier les </w:t>
      </w:r>
    </w:p>
    <w:p w:rsidR="000B5460" w:rsidRDefault="000B5460" w:rsidP="000B5460">
      <w:pPr>
        <w:pStyle w:val="a3"/>
        <w:spacing w:line="276" w:lineRule="auto"/>
        <w:ind w:left="1224"/>
        <w:rPr>
          <w:lang w:val="fr-FR"/>
        </w:rPr>
      </w:pPr>
      <w:r w:rsidRPr="007D66F2">
        <w:rPr>
          <w:lang w:val="fr-FR" w:bidi="ru-RU"/>
        </w:rPr>
        <w:t>données obtenues directement auprès des entités contrôlées. L'explosion des données disponibles générées par l'administration publique (données ouvertes) est également exigeante pour les ISC. Leur position et l'analyse des données constituent une occasion/possibilité unique de garantir la qualité, la fiabilité et l'exactitude (véracité) des données publiques. Il est difficile de suivre une approche stratégique et intégrée de la vérification sans données sous-jacentes de qualité.</w:t>
      </w:r>
      <w:r>
        <w:rPr>
          <w:lang w:val="fr-FR"/>
        </w:rPr>
        <w:t xml:space="preserve"> </w:t>
      </w:r>
    </w:p>
    <w:p w:rsidR="000B5460" w:rsidRPr="00042E1F" w:rsidRDefault="000B5460" w:rsidP="004930B0">
      <w:pPr>
        <w:pStyle w:val="a3"/>
        <w:numPr>
          <w:ilvl w:val="2"/>
          <w:numId w:val="31"/>
        </w:numPr>
        <w:spacing w:line="276" w:lineRule="auto"/>
        <w:ind w:hanging="798"/>
        <w:rPr>
          <w:lang w:val="fr-FR"/>
        </w:rPr>
      </w:pPr>
      <w:r>
        <w:rPr>
          <w:lang w:val="fr-FR"/>
        </w:rPr>
        <w:t xml:space="preserve"> </w:t>
      </w:r>
      <w:r w:rsidRPr="007D66F2">
        <w:rPr>
          <w:lang w:val="fr-FR" w:bidi="ru-RU"/>
        </w:rPr>
        <w:t>Plus de 70 ISC collaborent dans le cadre d'un projet conjoint de la Commission de partage et de gestion des connaissances de l'INTOSAI et de l'IDI pour évaluer l'état de préparation nationale à la mise en œuvre des objectifs d</w:t>
      </w:r>
      <w:r>
        <w:rPr>
          <w:lang w:val="fr-FR" w:bidi="ru-RU"/>
        </w:rPr>
        <w:t>e</w:t>
      </w:r>
      <w:r w:rsidRPr="007D66F2">
        <w:rPr>
          <w:lang w:val="fr-FR" w:bidi="ru-RU"/>
        </w:rPr>
        <w:t xml:space="preserve"> développement durable.  Cette initiative, ainsi que d'autres initiatives connexes au sein de l'INTOSAI, </w:t>
      </w:r>
      <w:r w:rsidRPr="007D66F2">
        <w:rPr>
          <w:lang w:val="fr-FR" w:bidi="ru-RU"/>
        </w:rPr>
        <w:lastRenderedPageBreak/>
        <w:t>fournira une mine d'informations précieuses tant pour les pays respectifs que pour le monde entier sur les défis communs et les bonnes pratiques émergentes</w:t>
      </w:r>
      <w:r w:rsidRPr="00E33AC3">
        <w:rPr>
          <w:rStyle w:val="af1"/>
          <w:lang w:val="fr-FR" w:bidi="ru-RU"/>
        </w:rPr>
        <w:footnoteReference w:id="13"/>
      </w:r>
      <w:r>
        <w:rPr>
          <w:lang w:val="fr-FR" w:bidi="ru-RU"/>
        </w:rPr>
        <w:t>.</w:t>
      </w:r>
    </w:p>
    <w:p w:rsidR="001A65B6" w:rsidRPr="00042E1F" w:rsidRDefault="004247AC" w:rsidP="001A65B6">
      <w:pPr>
        <w:pStyle w:val="a3"/>
        <w:numPr>
          <w:ilvl w:val="1"/>
          <w:numId w:val="31"/>
        </w:numPr>
        <w:spacing w:line="276" w:lineRule="auto"/>
        <w:ind w:left="567" w:hanging="567"/>
        <w:rPr>
          <w:lang w:val="fr-FR"/>
        </w:rPr>
      </w:pPr>
      <w:r w:rsidRPr="0004007A">
        <w:rPr>
          <w:b/>
          <w:lang w:val="fr-FR"/>
        </w:rPr>
        <w:t>Faire progresser l'utilisation des données et des éléments probants dans le processus décisionnel du gouvernement</w:t>
      </w:r>
      <w:r w:rsidRPr="004247AC">
        <w:rPr>
          <w:lang w:val="fr-FR"/>
        </w:rPr>
        <w:t>.  Un décideur informé devrait a) disposer en temps voulu d'informations de grande qualité sur les résultats obtenus par les organismes publics et les résultats de leurs activités afin de pouvoir réagir rapidement et de manière appropriée aux problèmes liés au budget ; b) disposer des résultats d'évaluations complexes et rigoureuses afin de relever les défis à long terme. La surveillance et l'évaluation ainsi que l'utilisation des données probantes produites pour la prise de décisions sont des éléments importants du cadre qui assure la responsabili</w:t>
      </w:r>
      <w:r w:rsidR="00553C73">
        <w:rPr>
          <w:lang w:val="fr-FR"/>
        </w:rPr>
        <w:t>té,</w:t>
      </w:r>
      <w:r w:rsidRPr="004247AC">
        <w:rPr>
          <w:lang w:val="fr-FR"/>
        </w:rPr>
        <w:t xml:space="preserve"> l</w:t>
      </w:r>
      <w:r w:rsidR="00D44A9D">
        <w:rPr>
          <w:lang w:val="fr-FR"/>
        </w:rPr>
        <w:t>a haute performance</w:t>
      </w:r>
      <w:r w:rsidRPr="004247AC">
        <w:rPr>
          <w:lang w:val="fr-FR"/>
        </w:rPr>
        <w:t xml:space="preserve"> et l'apprentissage au gouvernement</w:t>
      </w:r>
      <w:r w:rsidR="00553C73">
        <w:rPr>
          <w:lang w:val="fr-FR"/>
        </w:rPr>
        <w:t>.</w:t>
      </w:r>
    </w:p>
    <w:p w:rsidR="001A65B6" w:rsidRPr="000B5460" w:rsidRDefault="00D44A9D" w:rsidP="000B5460">
      <w:pPr>
        <w:pStyle w:val="a3"/>
        <w:numPr>
          <w:ilvl w:val="2"/>
          <w:numId w:val="31"/>
        </w:numPr>
        <w:spacing w:line="276" w:lineRule="auto"/>
        <w:rPr>
          <w:lang w:val="fr-FR"/>
        </w:rPr>
      </w:pPr>
      <w:r w:rsidRPr="00F36E82">
        <w:rPr>
          <w:lang w:val="fr-FR"/>
        </w:rPr>
        <w:t xml:space="preserve">L'ISC devrait évaluer </w:t>
      </w:r>
      <w:r w:rsidRPr="00F36E82">
        <w:rPr>
          <w:b/>
          <w:lang w:val="fr-FR"/>
        </w:rPr>
        <w:t>la crédibilité des rapports du gouvernement</w:t>
      </w:r>
      <w:r w:rsidRPr="00F36E82">
        <w:rPr>
          <w:lang w:val="fr-FR"/>
        </w:rPr>
        <w:t xml:space="preserve"> sur la réalisation des objectifs nationaux en fournissant des audits et proposant des conseils sur la qualité de son cadre de rapport, les lacunes dans les données statistiques et des dossiers vitaux, la gouvernance et la coordination du processus de rapport, ainsi que la cohérence et la profondeur des informations communiquées.</w:t>
      </w:r>
    </w:p>
    <w:p w:rsidR="000B5460" w:rsidRDefault="00235B3C" w:rsidP="00397039">
      <w:pPr>
        <w:pStyle w:val="a3"/>
        <w:numPr>
          <w:ilvl w:val="2"/>
          <w:numId w:val="31"/>
        </w:numPr>
        <w:spacing w:line="276" w:lineRule="auto"/>
        <w:rPr>
          <w:lang w:val="fr-FR" w:bidi="ru-RU"/>
        </w:rPr>
      </w:pPr>
      <w:r w:rsidRPr="000B5460">
        <w:rPr>
          <w:lang w:val="fr-FR" w:bidi="ru-RU"/>
        </w:rPr>
        <w:t xml:space="preserve">Les progrès technologiques sont sur le point de permettre la surveillance en temps réel et les alertes précoces, mais </w:t>
      </w:r>
      <w:r w:rsidRPr="000B5460">
        <w:rPr>
          <w:b/>
          <w:lang w:val="fr-FR" w:bidi="ru-RU"/>
        </w:rPr>
        <w:t>l'utilisation de données et d'éléments probants pour éclairer et guider les grandes décisions</w:t>
      </w:r>
      <w:r w:rsidRPr="000B5460">
        <w:rPr>
          <w:lang w:val="fr-FR" w:bidi="ru-RU"/>
        </w:rPr>
        <w:t xml:space="preserve"> demeure un grave problème au gouvernement en raison de l'absence de mécanismes institutionnels adéquats, de systèmes d'information intégrés, de normes et de lignes directrices. Les ISC devraient se pencher sur la capacité nationale (« pangouvernementale ») et la capacité des entités publiques à utiliser efficacement l'information sur la performance et son organisation pour améliorer et gérer les résultats. Les ISC devraient également soutenir une culture et des valeurs axées sur les données et fondées sur les faits au sein du gouvernement en accordant l'attention voulue à la représentation objective des problèmes de mesure de la performance, aux lacunes des compétences du public et à la transparence des systèmes d'information sur la performance.</w:t>
      </w:r>
    </w:p>
    <w:p w:rsidR="00A4255D" w:rsidRPr="000B5460" w:rsidRDefault="00E443C8" w:rsidP="00397039">
      <w:pPr>
        <w:pStyle w:val="a3"/>
        <w:numPr>
          <w:ilvl w:val="2"/>
          <w:numId w:val="31"/>
        </w:numPr>
        <w:spacing w:line="276" w:lineRule="auto"/>
        <w:rPr>
          <w:lang w:val="fr-FR" w:bidi="ru-RU"/>
        </w:rPr>
      </w:pPr>
      <w:r w:rsidRPr="000B5460">
        <w:rPr>
          <w:lang w:val="fr-FR" w:bidi="ru-RU"/>
        </w:rPr>
        <w:t>L’audit de la performance exige un perfectionnement continu de la méthodologie d’audit de la performance et des compétences des auditeurs afin d'être en phase avec l'évolution des méthodes de recherche et d'évaluation en sciences sociales.</w:t>
      </w:r>
    </w:p>
    <w:p w:rsidR="00397039" w:rsidRPr="00042E1F" w:rsidRDefault="00575F57" w:rsidP="00636D20">
      <w:pPr>
        <w:pStyle w:val="a3"/>
        <w:numPr>
          <w:ilvl w:val="1"/>
          <w:numId w:val="31"/>
        </w:numPr>
        <w:spacing w:line="276" w:lineRule="auto"/>
        <w:ind w:left="567" w:hanging="567"/>
        <w:rPr>
          <w:b/>
          <w:lang w:val="fr-FR"/>
        </w:rPr>
      </w:pPr>
      <w:r w:rsidRPr="00575F57">
        <w:rPr>
          <w:b/>
          <w:lang w:val="fr-FR" w:bidi="ru-RU"/>
        </w:rPr>
        <w:t>Faciliter l'approche prospective et les approches orientées vers l'avenir au sein du gouvernement</w:t>
      </w:r>
    </w:p>
    <w:p w:rsidR="00397039" w:rsidRPr="00042E1F" w:rsidRDefault="00575F57" w:rsidP="00636D20">
      <w:pPr>
        <w:pStyle w:val="a3"/>
        <w:numPr>
          <w:ilvl w:val="2"/>
          <w:numId w:val="31"/>
        </w:numPr>
        <w:spacing w:line="276" w:lineRule="auto"/>
        <w:ind w:hanging="798"/>
        <w:rPr>
          <w:lang w:val="fr-FR"/>
        </w:rPr>
      </w:pPr>
      <w:r w:rsidRPr="00575F57">
        <w:rPr>
          <w:lang w:val="fr-FR" w:bidi="ru-RU"/>
        </w:rPr>
        <w:lastRenderedPageBreak/>
        <w:t>Une meilleure gestion des risques au gouvernement est nécessaire pour orienter l'amélioration d</w:t>
      </w:r>
      <w:r>
        <w:rPr>
          <w:lang w:val="fr-FR" w:bidi="ru-RU"/>
        </w:rPr>
        <w:t>e la performance</w:t>
      </w:r>
      <w:r w:rsidRPr="00575F57">
        <w:rPr>
          <w:lang w:val="fr-FR" w:bidi="ru-RU"/>
        </w:rPr>
        <w:t xml:space="preserve"> en gardant à l'esprit une compréhension générale des risques qui comprend non seulement les risques financiers, mais aussi les risques environnementaux et sociaux ou le risque d'un manque d'innovation. Les ISC peuvent se concentrer sur :</w:t>
      </w:r>
    </w:p>
    <w:p w:rsidR="00397039" w:rsidRPr="00042E1F" w:rsidRDefault="00CF023E" w:rsidP="00397039">
      <w:pPr>
        <w:pStyle w:val="a3"/>
        <w:numPr>
          <w:ilvl w:val="4"/>
          <w:numId w:val="5"/>
        </w:numPr>
        <w:spacing w:line="276" w:lineRule="auto"/>
        <w:rPr>
          <w:lang w:val="fr-FR"/>
        </w:rPr>
      </w:pPr>
      <w:r w:rsidRPr="00CF023E">
        <w:rPr>
          <w:lang w:val="fr-FR" w:bidi="ru-RU"/>
        </w:rPr>
        <w:t>L’</w:t>
      </w:r>
      <w:r w:rsidRPr="0004007A">
        <w:rPr>
          <w:b/>
          <w:lang w:val="fr-FR" w:bidi="ru-RU"/>
        </w:rPr>
        <w:t>id</w:t>
      </w:r>
      <w:r w:rsidR="00575F57" w:rsidRPr="0004007A">
        <w:rPr>
          <w:b/>
          <w:lang w:val="fr-FR" w:bidi="ru-RU"/>
        </w:rPr>
        <w:t>entifi</w:t>
      </w:r>
      <w:r>
        <w:rPr>
          <w:b/>
          <w:lang w:val="fr-FR" w:bidi="ru-RU"/>
        </w:rPr>
        <w:t>cation de</w:t>
      </w:r>
      <w:r w:rsidR="00575F57" w:rsidRPr="0004007A">
        <w:rPr>
          <w:b/>
          <w:lang w:val="fr-FR" w:bidi="ru-RU"/>
        </w:rPr>
        <w:t xml:space="preserve">s domaines à risque d'intérêt national et international </w:t>
      </w:r>
      <w:r w:rsidR="00575F57" w:rsidRPr="00575F57">
        <w:rPr>
          <w:lang w:val="fr-FR" w:bidi="ru-RU"/>
        </w:rPr>
        <w:t>et aborder des questions transversales telles que le changement climatique, les programmes de protection sociale, la cybersécurité et la démographie, etc.</w:t>
      </w:r>
    </w:p>
    <w:p w:rsidR="00397039" w:rsidRPr="00042E1F" w:rsidRDefault="003E2E3F" w:rsidP="00397039">
      <w:pPr>
        <w:pStyle w:val="a3"/>
        <w:numPr>
          <w:ilvl w:val="4"/>
          <w:numId w:val="5"/>
        </w:numPr>
        <w:spacing w:line="276" w:lineRule="auto"/>
        <w:rPr>
          <w:lang w:val="fr-FR"/>
        </w:rPr>
      </w:pPr>
      <w:r w:rsidRPr="00042E1F">
        <w:rPr>
          <w:b/>
          <w:lang w:val="fr-FR" w:bidi="ru-RU"/>
        </w:rPr>
        <w:t>la sensibilisation aux risques</w:t>
      </w:r>
      <w:r w:rsidR="00397039" w:rsidRPr="00042E1F">
        <w:rPr>
          <w:lang w:val="fr-FR" w:bidi="ru-RU"/>
        </w:rPr>
        <w:t xml:space="preserve">, </w:t>
      </w:r>
      <w:r w:rsidRPr="00042E1F">
        <w:rPr>
          <w:lang w:val="fr-FR" w:bidi="ru-RU"/>
        </w:rPr>
        <w:t>ce qui est crucial pour maintenir la valeur institutionnelle des</w:t>
      </w:r>
      <w:r w:rsidR="00397039" w:rsidRPr="00042E1F">
        <w:rPr>
          <w:lang w:val="fr-FR" w:bidi="ru-RU"/>
        </w:rPr>
        <w:t xml:space="preserve"> </w:t>
      </w:r>
      <w:r w:rsidR="000C2C52" w:rsidRPr="00042E1F">
        <w:rPr>
          <w:lang w:val="fr-FR" w:bidi="ru-RU"/>
        </w:rPr>
        <w:t>ISA</w:t>
      </w:r>
      <w:r w:rsidR="00636D20" w:rsidRPr="00042E1F">
        <w:rPr>
          <w:lang w:val="fr-FR" w:bidi="ru-RU"/>
        </w:rPr>
        <w:t xml:space="preserve"> </w:t>
      </w:r>
      <w:r w:rsidRPr="00042E1F">
        <w:rPr>
          <w:lang w:val="fr-FR" w:bidi="ru-RU"/>
        </w:rPr>
        <w:t>et</w:t>
      </w:r>
      <w:r w:rsidR="00397039" w:rsidRPr="00042E1F">
        <w:rPr>
          <w:lang w:val="fr-FR" w:bidi="ru-RU"/>
        </w:rPr>
        <w:t xml:space="preserve"> </w:t>
      </w:r>
      <w:r w:rsidRPr="00042E1F">
        <w:rPr>
          <w:lang w:val="fr-FR" w:bidi="ru-RU"/>
        </w:rPr>
        <w:t>renforcer la confiance des citoyens dans la politique et les institutions publiques</w:t>
      </w:r>
      <w:r w:rsidR="00397039" w:rsidRPr="00042E1F">
        <w:rPr>
          <w:lang w:val="fr-FR" w:bidi="ru-RU"/>
        </w:rPr>
        <w:t xml:space="preserve">. </w:t>
      </w:r>
      <w:r w:rsidRPr="00042E1F">
        <w:rPr>
          <w:lang w:val="fr-FR" w:bidi="ru-RU"/>
        </w:rPr>
        <w:t>L</w:t>
      </w:r>
      <w:r w:rsidR="001425F3">
        <w:rPr>
          <w:lang w:val="fr-FR" w:bidi="ru-RU"/>
        </w:rPr>
        <w:t>’</w:t>
      </w:r>
      <w:r w:rsidRPr="00042E1F">
        <w:rPr>
          <w:lang w:val="fr-FR" w:bidi="ru-RU"/>
        </w:rPr>
        <w:t>évaluation des risques associés à la mise en œuvre des politiques et programmes publics</w:t>
      </w:r>
      <w:r w:rsidR="00397039" w:rsidRPr="00042E1F">
        <w:rPr>
          <w:lang w:val="fr-FR" w:bidi="ru-RU"/>
        </w:rPr>
        <w:t xml:space="preserve">, </w:t>
      </w:r>
      <w:r w:rsidRPr="00042E1F">
        <w:rPr>
          <w:lang w:val="fr-FR" w:bidi="ru-RU"/>
        </w:rPr>
        <w:t>devrait fournir à ISA des informations</w:t>
      </w:r>
      <w:r w:rsidR="00397039" w:rsidRPr="00042E1F">
        <w:rPr>
          <w:lang w:val="fr-FR" w:bidi="ru-RU"/>
        </w:rPr>
        <w:t xml:space="preserve"> </w:t>
      </w:r>
      <w:r w:rsidRPr="00042E1F">
        <w:rPr>
          <w:lang w:val="fr-FR" w:bidi="ru-RU"/>
        </w:rPr>
        <w:t>permettant l</w:t>
      </w:r>
      <w:r w:rsidR="001425F3">
        <w:rPr>
          <w:lang w:val="fr-FR" w:bidi="ru-RU"/>
        </w:rPr>
        <w:t>’</w:t>
      </w:r>
      <w:r w:rsidRPr="00042E1F">
        <w:rPr>
          <w:lang w:val="fr-FR" w:bidi="ru-RU"/>
        </w:rPr>
        <w:t>utilisation la plus complète des connaissances et de l</w:t>
      </w:r>
      <w:r w:rsidR="001425F3">
        <w:rPr>
          <w:lang w:val="fr-FR" w:bidi="ru-RU"/>
        </w:rPr>
        <w:t>’</w:t>
      </w:r>
      <w:r w:rsidRPr="00042E1F">
        <w:rPr>
          <w:lang w:val="fr-FR" w:bidi="ru-RU"/>
        </w:rPr>
        <w:t>expérience</w:t>
      </w:r>
      <w:r w:rsidR="00397039" w:rsidRPr="00042E1F">
        <w:rPr>
          <w:lang w:val="fr-FR" w:bidi="ru-RU"/>
        </w:rPr>
        <w:t xml:space="preserve"> (</w:t>
      </w:r>
      <w:r w:rsidR="00633F8E" w:rsidRPr="00042E1F">
        <w:rPr>
          <w:lang w:val="fr-FR" w:bidi="ru-RU"/>
        </w:rPr>
        <w:t>y compris, celle de prévision</w:t>
      </w:r>
      <w:r w:rsidR="00397039" w:rsidRPr="00042E1F">
        <w:rPr>
          <w:lang w:val="fr-FR" w:bidi="ru-RU"/>
        </w:rPr>
        <w:t xml:space="preserve">) </w:t>
      </w:r>
      <w:r w:rsidR="00633F8E" w:rsidRPr="00042E1F">
        <w:rPr>
          <w:lang w:val="fr-FR" w:bidi="ru-RU"/>
        </w:rPr>
        <w:t>pour assurer la participation au contrôle parlementaire</w:t>
      </w:r>
      <w:r w:rsidR="00397039" w:rsidRPr="00042E1F">
        <w:rPr>
          <w:lang w:val="fr-FR" w:bidi="ru-RU"/>
        </w:rPr>
        <w:t xml:space="preserve">. </w:t>
      </w:r>
      <w:r w:rsidR="00CF023E" w:rsidRPr="00CF023E">
        <w:rPr>
          <w:lang w:val="fr-FR" w:bidi="ru-RU"/>
        </w:rPr>
        <w:t xml:space="preserve">La </w:t>
      </w:r>
      <w:r w:rsidR="00CF023E" w:rsidRPr="0004007A">
        <w:rPr>
          <w:b/>
          <w:lang w:val="fr-FR" w:bidi="ru-RU"/>
        </w:rPr>
        <w:t>sensibilisation aux risques</w:t>
      </w:r>
      <w:r w:rsidR="00CF023E" w:rsidRPr="00CF023E">
        <w:rPr>
          <w:lang w:val="fr-FR" w:bidi="ru-RU"/>
        </w:rPr>
        <w:t xml:space="preserve"> est cruciale pour qu'une ISC reste pertinente et contribue à renforcer la confiance des citoyens dans les politiques et les institutions publiques. L'évaluation des risques associés à la mise en œuvre des politiques et des programmes publics doit fournir aux ISC des éléments probants leur permettant d'apporter leur perspicacité et leur expertise (prévoyance) pour appuyer la fonction de contrôle parlementaire</w:t>
      </w:r>
      <w:r w:rsidR="00E734FF">
        <w:rPr>
          <w:lang w:val="fr-FR" w:bidi="ru-RU"/>
        </w:rPr>
        <w:t>.</w:t>
      </w:r>
    </w:p>
    <w:p w:rsidR="00397039" w:rsidRPr="00042E1F" w:rsidRDefault="00E734FF" w:rsidP="00397039">
      <w:pPr>
        <w:pStyle w:val="a3"/>
        <w:numPr>
          <w:ilvl w:val="4"/>
          <w:numId w:val="5"/>
        </w:numPr>
        <w:spacing w:line="276" w:lineRule="auto"/>
        <w:rPr>
          <w:lang w:val="fr-FR"/>
        </w:rPr>
      </w:pPr>
      <w:r w:rsidRPr="00E734FF">
        <w:rPr>
          <w:lang w:val="fr-FR" w:bidi="ru-RU"/>
        </w:rPr>
        <w:t xml:space="preserve">Répondre à </w:t>
      </w:r>
      <w:r w:rsidRPr="0004007A">
        <w:rPr>
          <w:b/>
          <w:lang w:val="fr-FR" w:bidi="ru-RU"/>
        </w:rPr>
        <w:t xml:space="preserve">la nécessité de gérer le risque systémique au gouvernement </w:t>
      </w:r>
      <w:r>
        <w:rPr>
          <w:lang w:val="fr-FR" w:bidi="ru-RU"/>
        </w:rPr>
        <w:t>en plus des</w:t>
      </w:r>
      <w:r w:rsidRPr="00E734FF">
        <w:rPr>
          <w:lang w:val="fr-FR" w:bidi="ru-RU"/>
        </w:rPr>
        <w:t xml:space="preserve"> risque</w:t>
      </w:r>
      <w:r>
        <w:rPr>
          <w:lang w:val="fr-FR" w:bidi="ru-RU"/>
        </w:rPr>
        <w:t>s</w:t>
      </w:r>
      <w:r w:rsidRPr="00E734FF">
        <w:rPr>
          <w:lang w:val="fr-FR" w:bidi="ru-RU"/>
        </w:rPr>
        <w:t xml:space="preserve"> opérationnel et d'entreprise d'une seule entité.</w:t>
      </w:r>
    </w:p>
    <w:p w:rsidR="00636D20" w:rsidRPr="00042E1F" w:rsidRDefault="00E734FF" w:rsidP="00636D20">
      <w:pPr>
        <w:pStyle w:val="a3"/>
        <w:numPr>
          <w:ilvl w:val="2"/>
          <w:numId w:val="31"/>
        </w:numPr>
        <w:spacing w:line="276" w:lineRule="auto"/>
        <w:ind w:hanging="798"/>
        <w:rPr>
          <w:lang w:val="fr-FR"/>
        </w:rPr>
      </w:pPr>
      <w:r w:rsidRPr="00E734FF">
        <w:rPr>
          <w:lang w:val="fr-FR" w:bidi="ru-RU"/>
        </w:rPr>
        <w:t>Les ISC devraient améliorer et renforcer les capacités de réflexion stratégique, de planification et de prospective à long terme en vérifiant les plans stratégiques du gouvernement et les capacités de prospective, et s'attaquer au problème du renforcement du centre des capacités gouvernementales en matière de gestion stratégique, en guidant la mise en œuvre des efforts transversaux et en encourageant l'innovation</w:t>
      </w:r>
      <w:r w:rsidR="009746DE" w:rsidRPr="009746DE">
        <w:rPr>
          <w:rStyle w:val="af1"/>
          <w:lang w:val="fr-FR" w:bidi="ru-RU"/>
        </w:rPr>
        <w:footnoteReference w:id="14"/>
      </w:r>
      <w:r w:rsidRPr="00E734FF">
        <w:rPr>
          <w:lang w:val="fr-FR" w:bidi="ru-RU"/>
        </w:rPr>
        <w:t>.</w:t>
      </w:r>
    </w:p>
    <w:p w:rsidR="00D8255A" w:rsidRPr="00297EC0" w:rsidRDefault="00E734FF" w:rsidP="00297EC0">
      <w:pPr>
        <w:pStyle w:val="a3"/>
        <w:numPr>
          <w:ilvl w:val="1"/>
          <w:numId w:val="31"/>
        </w:numPr>
        <w:spacing w:line="276" w:lineRule="auto"/>
        <w:ind w:left="567" w:hanging="567"/>
        <w:rPr>
          <w:lang w:val="fr-FR"/>
        </w:rPr>
      </w:pPr>
      <w:r w:rsidRPr="00297EC0">
        <w:rPr>
          <w:b/>
          <w:lang w:val="fr-FR"/>
        </w:rPr>
        <w:t>L'inclusivité</w:t>
      </w:r>
      <w:r w:rsidRPr="00297EC0">
        <w:rPr>
          <w:lang w:val="fr-FR"/>
        </w:rPr>
        <w:t xml:space="preserve"> est un point essentiel du programme de développement durable à l'horizon 2030, dont le slogan est </w:t>
      </w:r>
      <w:r w:rsidR="0023303F" w:rsidRPr="00297EC0">
        <w:rPr>
          <w:lang w:val="fr-FR"/>
        </w:rPr>
        <w:t>de « ne laisser pe</w:t>
      </w:r>
      <w:r w:rsidRPr="00297EC0">
        <w:rPr>
          <w:lang w:val="fr-FR"/>
        </w:rPr>
        <w:t xml:space="preserve">rsonne </w:t>
      </w:r>
      <w:r w:rsidR="0023303F" w:rsidRPr="00297EC0">
        <w:rPr>
          <w:lang w:val="fr-FR"/>
        </w:rPr>
        <w:t>pour compte »</w:t>
      </w:r>
      <w:r w:rsidRPr="00297EC0">
        <w:rPr>
          <w:lang w:val="fr-FR"/>
        </w:rPr>
        <w:t xml:space="preserve">, et les ISC devraient tenir compte de cette caractéristique </w:t>
      </w:r>
      <w:r w:rsidR="0023303F" w:rsidRPr="00297EC0">
        <w:rPr>
          <w:lang w:val="fr-FR"/>
        </w:rPr>
        <w:t>fondamentale</w:t>
      </w:r>
      <w:r w:rsidRPr="00297EC0">
        <w:rPr>
          <w:lang w:val="fr-FR"/>
        </w:rPr>
        <w:t xml:space="preserve"> du programme de développement durable à l'horizon 2030 dans leur travail d'audit (en examinant la préparation des systèmes </w:t>
      </w:r>
      <w:r w:rsidRPr="00297EC0">
        <w:rPr>
          <w:lang w:val="fr-FR"/>
        </w:rPr>
        <w:lastRenderedPageBreak/>
        <w:t>statistiques nationaux, les objectifs gouvernementaux, en effectuant un audit des informations de performance, etc.).</w:t>
      </w:r>
      <w:r w:rsidR="00D8255A" w:rsidRPr="00297EC0">
        <w:rPr>
          <w:rStyle w:val="af1"/>
          <w:lang w:val="fr-FR" w:bidi="ru-RU"/>
        </w:rPr>
        <w:t xml:space="preserve"> </w:t>
      </w:r>
      <w:r w:rsidR="00D8255A" w:rsidRPr="00D8255A">
        <w:rPr>
          <w:rStyle w:val="af1"/>
          <w:lang w:val="fr-FR" w:bidi="ru-RU"/>
        </w:rPr>
        <w:footnoteReference w:id="15"/>
      </w:r>
      <w:bookmarkStart w:id="0" w:name="_GoBack"/>
      <w:bookmarkEnd w:id="0"/>
    </w:p>
    <w:sectPr w:rsidR="00D8255A" w:rsidRPr="00297EC0" w:rsidSect="00731916">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A05" w:rsidRDefault="00270A05" w:rsidP="0011236F">
      <w:pPr>
        <w:spacing w:after="0" w:line="240" w:lineRule="auto"/>
      </w:pPr>
      <w:r>
        <w:separator/>
      </w:r>
    </w:p>
  </w:endnote>
  <w:endnote w:type="continuationSeparator" w:id="0">
    <w:p w:rsidR="00270A05" w:rsidRDefault="00270A05" w:rsidP="0011236F">
      <w:pPr>
        <w:spacing w:after="0" w:line="240" w:lineRule="auto"/>
      </w:pPr>
      <w:r>
        <w:continuationSeparator/>
      </w:r>
    </w:p>
  </w:endnote>
  <w:endnote w:type="continuationNotice" w:id="1">
    <w:p w:rsidR="00270A05" w:rsidRDefault="00270A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FranklinGothic">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A05" w:rsidRDefault="00270A05" w:rsidP="0011236F">
      <w:pPr>
        <w:spacing w:after="0" w:line="240" w:lineRule="auto"/>
      </w:pPr>
      <w:r>
        <w:separator/>
      </w:r>
    </w:p>
  </w:footnote>
  <w:footnote w:type="continuationSeparator" w:id="0">
    <w:p w:rsidR="00270A05" w:rsidRDefault="00270A05" w:rsidP="0011236F">
      <w:pPr>
        <w:spacing w:after="0" w:line="240" w:lineRule="auto"/>
      </w:pPr>
      <w:r>
        <w:continuationSeparator/>
      </w:r>
    </w:p>
  </w:footnote>
  <w:footnote w:type="continuationNotice" w:id="1">
    <w:p w:rsidR="00270A05" w:rsidRDefault="00270A05">
      <w:pPr>
        <w:spacing w:after="0" w:line="240" w:lineRule="auto"/>
      </w:pPr>
    </w:p>
  </w:footnote>
  <w:footnote w:id="2">
    <w:p w:rsidR="0004007A" w:rsidRPr="00161FB3" w:rsidRDefault="0004007A" w:rsidP="00E11444">
      <w:pPr>
        <w:spacing w:after="0" w:line="240" w:lineRule="auto"/>
        <w:jc w:val="both"/>
        <w:rPr>
          <w:rFonts w:ascii="Times New Roman" w:hAnsi="Times New Roman" w:cs="Times New Roman"/>
          <w:lang w:val="fr-FR"/>
        </w:rPr>
      </w:pPr>
      <w:r w:rsidRPr="00161FB3">
        <w:rPr>
          <w:rStyle w:val="af1"/>
          <w:rFonts w:ascii="Times New Roman" w:hAnsi="Times New Roman" w:cs="Times New Roman"/>
          <w:lang w:val="fr-FR"/>
        </w:rPr>
        <w:footnoteRef/>
      </w:r>
      <w:r w:rsidRPr="00161FB3">
        <w:rPr>
          <w:rFonts w:ascii="Times New Roman" w:hAnsi="Times New Roman" w:cs="Times New Roman"/>
          <w:lang w:val="fr-FR"/>
        </w:rPr>
        <w:t xml:space="preserve"> </w:t>
      </w:r>
      <w:r w:rsidRPr="00E11444">
        <w:rPr>
          <w:rFonts w:ascii="Times New Roman" w:eastAsia="Times New Roman" w:hAnsi="Times New Roman" w:cs="Times New Roman"/>
          <w:lang w:val="fr-FR" w:eastAsia="ru-RU" w:bidi="ru-RU"/>
        </w:rPr>
        <w:t xml:space="preserve">Les thèmes intitulés «Le rôle des ISC dans la planification et la réalisation des réformes des fonctions et structures administratives» et « Le rôle des ISC dans le contrôle des réformes des fonctions et structures administratives» lors du XVIIe </w:t>
      </w:r>
      <w:r w:rsidR="006401DE" w:rsidRPr="00E11444">
        <w:rPr>
          <w:rFonts w:ascii="Times New Roman" w:eastAsia="Times New Roman" w:hAnsi="Times New Roman" w:cs="Times New Roman"/>
          <w:lang w:val="fr-FR" w:eastAsia="ru-RU" w:bidi="ru-RU"/>
        </w:rPr>
        <w:t>Congrès de l’INTOSAI</w:t>
      </w:r>
      <w:r w:rsidRPr="00E11444">
        <w:rPr>
          <w:rFonts w:ascii="Times New Roman" w:eastAsia="Times New Roman" w:hAnsi="Times New Roman" w:cs="Times New Roman"/>
          <w:lang w:val="fr-FR" w:eastAsia="ru-RU" w:bidi="ru-RU"/>
        </w:rPr>
        <w:t xml:space="preserve">; le thème intitulé «Systèmes d'évaluation du rendement de performance à l'aide d'indicateurs-clés généralement acceptés» lors du XIXe </w:t>
      </w:r>
      <w:r w:rsidR="006401DE" w:rsidRPr="00E11444">
        <w:rPr>
          <w:rFonts w:ascii="Times New Roman" w:eastAsia="Times New Roman" w:hAnsi="Times New Roman" w:cs="Times New Roman"/>
          <w:lang w:val="fr-FR" w:eastAsia="ru-RU" w:bidi="ru-RU"/>
        </w:rPr>
        <w:t>Congrès de l’INTOSAI</w:t>
      </w:r>
      <w:r w:rsidRPr="00E11444">
        <w:rPr>
          <w:rFonts w:ascii="Times New Roman" w:eastAsia="Times New Roman" w:hAnsi="Times New Roman" w:cs="Times New Roman"/>
          <w:lang w:val="fr-FR" w:eastAsia="ru-RU" w:bidi="ru-RU"/>
        </w:rPr>
        <w:t xml:space="preserve">; le thème intitulé «L'audit national et la gouvernance nationale» lors du XXIe </w:t>
      </w:r>
      <w:r w:rsidR="006401DE" w:rsidRPr="00E11444">
        <w:rPr>
          <w:rFonts w:ascii="Times New Roman" w:eastAsia="Times New Roman" w:hAnsi="Times New Roman" w:cs="Times New Roman"/>
          <w:lang w:val="fr-FR" w:eastAsia="ru-RU" w:bidi="ru-RU"/>
        </w:rPr>
        <w:t>Congrès de l’INTOSAI</w:t>
      </w:r>
      <w:r w:rsidRPr="00E11444">
        <w:rPr>
          <w:rFonts w:ascii="Times New Roman" w:eastAsia="Times New Roman" w:hAnsi="Times New Roman" w:cs="Times New Roman"/>
          <w:lang w:val="fr-FR" w:eastAsia="ru-RU" w:bidi="ru-RU"/>
        </w:rPr>
        <w:t xml:space="preserve">; le thème intitulé «Comment l'INTOSAI peut-elle contribuer à l’Agenda 2030 pour le développement durable en ajoutant la bonne gouvernance et renforcement de la </w:t>
      </w:r>
      <w:r w:rsidR="006401DE" w:rsidRPr="00E11444">
        <w:rPr>
          <w:rFonts w:ascii="Times New Roman" w:eastAsia="Times New Roman" w:hAnsi="Times New Roman" w:cs="Times New Roman"/>
          <w:lang w:val="fr-FR" w:eastAsia="ru-RU" w:bidi="ru-RU"/>
        </w:rPr>
        <w:t>lutte contre la corruption</w:t>
      </w:r>
      <w:r w:rsidRPr="00E11444">
        <w:rPr>
          <w:rFonts w:ascii="Times New Roman" w:eastAsia="Times New Roman" w:hAnsi="Times New Roman" w:cs="Times New Roman"/>
          <w:lang w:val="fr-FR" w:eastAsia="ru-RU" w:bidi="ru-RU"/>
        </w:rPr>
        <w:t>?» lors du XXIIe</w:t>
      </w:r>
      <w:r w:rsidR="006401DE" w:rsidRPr="00E11444">
        <w:rPr>
          <w:rFonts w:ascii="Times New Roman" w:eastAsia="Times New Roman" w:hAnsi="Times New Roman" w:cs="Times New Roman"/>
          <w:lang w:val="fr-FR" w:eastAsia="ru-RU" w:bidi="ru-RU"/>
        </w:rPr>
        <w:t xml:space="preserve"> </w:t>
      </w:r>
      <w:r w:rsidRPr="00E11444">
        <w:rPr>
          <w:rFonts w:ascii="Times New Roman" w:eastAsia="Times New Roman" w:hAnsi="Times New Roman" w:cs="Times New Roman"/>
          <w:lang w:val="fr-FR" w:eastAsia="ru-RU" w:bidi="ru-RU"/>
        </w:rPr>
        <w:t>Congrès de l’INTOSAI.</w:t>
      </w:r>
    </w:p>
  </w:footnote>
  <w:footnote w:id="3">
    <w:p w:rsidR="0004007A" w:rsidRPr="005E2018" w:rsidRDefault="0004007A" w:rsidP="00E11444">
      <w:pPr>
        <w:pStyle w:val="af2"/>
        <w:jc w:val="both"/>
        <w:rPr>
          <w:strike/>
          <w:sz w:val="22"/>
          <w:szCs w:val="22"/>
          <w:lang w:val="fr-FR" w:bidi="ru-RU"/>
        </w:rPr>
      </w:pPr>
      <w:r w:rsidRPr="00161FB3">
        <w:rPr>
          <w:rStyle w:val="af1"/>
          <w:lang w:val="fr-FR" w:bidi="ru-RU"/>
        </w:rPr>
        <w:footnoteRef/>
      </w:r>
      <w:r w:rsidRPr="00161FB3">
        <w:rPr>
          <w:lang w:val="fr-FR" w:bidi="ru-RU"/>
        </w:rPr>
        <w:t xml:space="preserve"> </w:t>
      </w:r>
      <w:r w:rsidRPr="0004007A">
        <w:rPr>
          <w:sz w:val="22"/>
          <w:szCs w:val="22"/>
          <w:lang w:val="fr-FR" w:bidi="ru-RU"/>
        </w:rPr>
        <w:t>Le rôle essentiel que jouent les ISC à p</w:t>
      </w:r>
      <w:r w:rsidRPr="0004007A">
        <w:rPr>
          <w:rFonts w:ascii="Times" w:eastAsiaTheme="minorHAnsi" w:hAnsi="Times"/>
          <w:bCs/>
          <w:sz w:val="22"/>
          <w:szCs w:val="22"/>
          <w:lang w:val="fr-FR" w:eastAsia="fr-FR"/>
        </w:rPr>
        <w:t>romouvoir et favoriser l’efficience, le respect du principe de responsabilite, l’efficacite et la transparence dans les admin</w:t>
      </w:r>
      <w:r w:rsidR="008E3EB5">
        <w:rPr>
          <w:rFonts w:ascii="Times" w:eastAsiaTheme="minorHAnsi" w:hAnsi="Times"/>
          <w:bCs/>
          <w:sz w:val="22"/>
          <w:szCs w:val="22"/>
          <w:lang w:val="fr-FR" w:eastAsia="fr-FR"/>
        </w:rPr>
        <w:t>istrations publiques en renforc</w:t>
      </w:r>
      <w:r w:rsidRPr="0004007A">
        <w:rPr>
          <w:rFonts w:ascii="Times" w:eastAsiaTheme="minorHAnsi" w:hAnsi="Times"/>
          <w:bCs/>
          <w:sz w:val="22"/>
          <w:szCs w:val="22"/>
          <w:lang w:val="fr-FR" w:eastAsia="fr-FR"/>
        </w:rPr>
        <w:t>ant les inst</w:t>
      </w:r>
      <w:r w:rsidR="008E3EB5">
        <w:rPr>
          <w:rFonts w:ascii="Times" w:eastAsiaTheme="minorHAnsi" w:hAnsi="Times"/>
          <w:bCs/>
          <w:sz w:val="22"/>
          <w:szCs w:val="22"/>
          <w:lang w:val="fr-FR" w:eastAsia="fr-FR"/>
        </w:rPr>
        <w:t>itutions supérieures de contro</w:t>
      </w:r>
      <w:r w:rsidRPr="0004007A">
        <w:rPr>
          <w:rFonts w:ascii="Times" w:eastAsiaTheme="minorHAnsi" w:hAnsi="Times"/>
          <w:bCs/>
          <w:sz w:val="22"/>
          <w:szCs w:val="22"/>
          <w:lang w:val="fr-FR" w:eastAsia="fr-FR"/>
        </w:rPr>
        <w:t>le des finances publiques</w:t>
      </w:r>
      <w:r w:rsidRPr="0004007A">
        <w:rPr>
          <w:sz w:val="22"/>
          <w:szCs w:val="22"/>
          <w:lang w:val="fr-FR" w:bidi="ru-RU"/>
        </w:rPr>
        <w:t xml:space="preserve"> qui soit propice à la réalisation des objectifs et priorités de développement nationaux et des objectifs de développement convenus sur le plan international, a été reconnu par l’Assemblée générale des Nations Unies dans la Résolution A/RES/69/228 adoptée le 19 décembre 2014.</w:t>
      </w:r>
    </w:p>
  </w:footnote>
  <w:footnote w:id="4">
    <w:p w:rsidR="00A2265E" w:rsidRPr="00F36E82" w:rsidRDefault="00A2265E" w:rsidP="00A2265E">
      <w:pPr>
        <w:rPr>
          <w:lang w:val="fr-FR"/>
        </w:rPr>
      </w:pPr>
      <w:r w:rsidRPr="00483317">
        <w:rPr>
          <w:rStyle w:val="af1"/>
          <w:rFonts w:ascii="Times New Roman" w:hAnsi="Times New Roman" w:cs="Times New Roman"/>
          <w:lang w:val="fr-FR"/>
        </w:rPr>
        <w:footnoteRef/>
      </w:r>
      <w:r w:rsidRPr="00483317">
        <w:rPr>
          <w:rFonts w:ascii="Times New Roman" w:hAnsi="Times New Roman" w:cs="Times New Roman"/>
          <w:lang w:val="fr-FR"/>
        </w:rPr>
        <w:t xml:space="preserve"> </w:t>
      </w:r>
      <w:r w:rsidR="00F36E82" w:rsidRPr="00F36E82">
        <w:rPr>
          <w:rFonts w:ascii="Times New Roman" w:hAnsi="Times New Roman" w:cs="Times New Roman"/>
          <w:lang w:val="fr-FR" w:bidi="ru-RU"/>
        </w:rPr>
        <w:t xml:space="preserve">Cette </w:t>
      </w:r>
      <w:r w:rsidR="00F36E82">
        <w:rPr>
          <w:rFonts w:ascii="Times New Roman" w:hAnsi="Times New Roman" w:cs="Times New Roman"/>
          <w:lang w:val="fr-FR" w:bidi="ru-RU"/>
        </w:rPr>
        <w:t xml:space="preserve">approche est étroitement </w:t>
      </w:r>
      <w:r w:rsidR="005E2018">
        <w:rPr>
          <w:rFonts w:ascii="Times New Roman" w:hAnsi="Times New Roman" w:cs="Times New Roman"/>
          <w:lang w:val="fr-FR" w:bidi="ru-RU"/>
        </w:rPr>
        <w:t xml:space="preserve">liée au concept de </w:t>
      </w:r>
      <w:r w:rsidR="00F36E82" w:rsidRPr="00F36E82">
        <w:rPr>
          <w:rFonts w:ascii="Times New Roman" w:hAnsi="Times New Roman" w:cs="Times New Roman"/>
          <w:lang w:val="fr-FR" w:bidi="ru-RU"/>
        </w:rPr>
        <w:t>«</w:t>
      </w:r>
      <w:r w:rsidR="00F36E82">
        <w:rPr>
          <w:rFonts w:ascii="Times New Roman" w:hAnsi="Times New Roman" w:cs="Times New Roman"/>
          <w:lang w:val="fr-FR" w:bidi="ru-RU"/>
        </w:rPr>
        <w:t>report</w:t>
      </w:r>
      <w:r w:rsidR="005E2018">
        <w:rPr>
          <w:rFonts w:ascii="Times New Roman" w:hAnsi="Times New Roman" w:cs="Times New Roman"/>
          <w:lang w:val="fr-FR" w:bidi="ru-RU"/>
        </w:rPr>
        <w:t>é</w:t>
      </w:r>
      <w:r w:rsidR="00F36E82">
        <w:rPr>
          <w:rFonts w:ascii="Times New Roman" w:hAnsi="Times New Roman" w:cs="Times New Roman"/>
          <w:lang w:val="fr-FR" w:bidi="ru-RU"/>
        </w:rPr>
        <w:t xml:space="preserve"> intégré</w:t>
      </w:r>
      <w:r w:rsidR="00F36E82" w:rsidRPr="00F36E82">
        <w:rPr>
          <w:rFonts w:ascii="Times New Roman" w:hAnsi="Times New Roman" w:cs="Times New Roman"/>
          <w:lang w:val="fr-FR" w:bidi="ru-RU"/>
        </w:rPr>
        <w:t>/</w:t>
      </w:r>
      <w:r w:rsidR="005E2018">
        <w:rPr>
          <w:rFonts w:ascii="Times New Roman" w:hAnsi="Times New Roman" w:cs="Times New Roman"/>
          <w:lang w:val="fr-FR" w:bidi="ru-RU"/>
        </w:rPr>
        <w:t>pensé</w:t>
      </w:r>
      <w:r w:rsidR="00F36E82">
        <w:rPr>
          <w:rFonts w:ascii="Times New Roman" w:hAnsi="Times New Roman" w:cs="Times New Roman"/>
          <w:lang w:val="fr-FR" w:bidi="ru-RU"/>
        </w:rPr>
        <w:t xml:space="preserve"> et audit</w:t>
      </w:r>
      <w:r w:rsidR="005E2018">
        <w:rPr>
          <w:rFonts w:ascii="Times New Roman" w:hAnsi="Times New Roman" w:cs="Times New Roman"/>
          <w:lang w:val="fr-FR" w:bidi="ru-RU"/>
        </w:rPr>
        <w:t>é</w:t>
      </w:r>
      <w:r w:rsidR="00F36E82" w:rsidRPr="00F36E82">
        <w:rPr>
          <w:rFonts w:ascii="Times New Roman" w:hAnsi="Times New Roman" w:cs="Times New Roman"/>
          <w:lang w:val="fr-FR" w:bidi="ru-RU"/>
        </w:rPr>
        <w:t>»</w:t>
      </w:r>
      <w:r w:rsidRPr="007952E8">
        <w:rPr>
          <w:rFonts w:ascii="Times New Roman" w:hAnsi="Times New Roman" w:cs="Times New Roman"/>
          <w:lang w:val="fr-FR" w:bidi="ru-RU"/>
        </w:rPr>
        <w:t>.</w:t>
      </w:r>
    </w:p>
  </w:footnote>
  <w:footnote w:id="5">
    <w:p w:rsidR="00A2265E" w:rsidRPr="0004007A" w:rsidRDefault="00A2265E" w:rsidP="00A2265E">
      <w:pPr>
        <w:pStyle w:val="af"/>
        <w:spacing w:after="60"/>
        <w:jc w:val="both"/>
        <w:rPr>
          <w:sz w:val="22"/>
          <w:szCs w:val="22"/>
          <w:lang w:val="fr-FR"/>
        </w:rPr>
      </w:pPr>
      <w:r w:rsidRPr="0004007A">
        <w:rPr>
          <w:rStyle w:val="af1"/>
          <w:sz w:val="22"/>
          <w:szCs w:val="22"/>
          <w:lang w:val="fr-FR"/>
        </w:rPr>
        <w:footnoteRef/>
      </w:r>
      <w:r w:rsidRPr="0004007A">
        <w:rPr>
          <w:sz w:val="22"/>
          <w:szCs w:val="22"/>
          <w:lang w:val="fr-FR"/>
        </w:rPr>
        <w:t xml:space="preserve"> </w:t>
      </w:r>
      <w:r w:rsidRPr="0004007A">
        <w:rPr>
          <w:rFonts w:ascii="Times New Roman" w:hAnsi="Times New Roman" w:cs="Times New Roman"/>
          <w:sz w:val="22"/>
          <w:szCs w:val="22"/>
          <w:lang w:val="fr-FR" w:bidi="ru-RU"/>
        </w:rPr>
        <w:t xml:space="preserve">Dans ce document, nous utilisons le terme </w:t>
      </w:r>
      <w:r>
        <w:rPr>
          <w:rFonts w:ascii="Times New Roman" w:hAnsi="Times New Roman" w:cs="Times New Roman"/>
          <w:sz w:val="22"/>
          <w:szCs w:val="22"/>
          <w:lang w:val="fr-FR" w:bidi="ru-RU"/>
        </w:rPr>
        <w:t xml:space="preserve">d’ </w:t>
      </w:r>
      <w:r w:rsidRPr="0004007A">
        <w:rPr>
          <w:rFonts w:ascii="Times New Roman" w:hAnsi="Times New Roman" w:cs="Times New Roman"/>
          <w:sz w:val="22"/>
          <w:szCs w:val="22"/>
          <w:lang w:val="fr-FR" w:bidi="ru-RU"/>
        </w:rPr>
        <w:t xml:space="preserve">« audit stratégique » qui n’est pas </w:t>
      </w:r>
      <w:r>
        <w:rPr>
          <w:rFonts w:ascii="Times New Roman" w:hAnsi="Times New Roman" w:cs="Times New Roman"/>
          <w:sz w:val="22"/>
          <w:szCs w:val="22"/>
          <w:lang w:val="fr-FR" w:bidi="ru-RU"/>
        </w:rPr>
        <w:t xml:space="preserve">reconnu par les ISSAI. </w:t>
      </w:r>
      <w:r w:rsidRPr="0004007A">
        <w:rPr>
          <w:rFonts w:ascii="Times New Roman" w:hAnsi="Times New Roman" w:cs="Times New Roman"/>
          <w:sz w:val="22"/>
          <w:szCs w:val="22"/>
          <w:lang w:val="fr-FR" w:bidi="ru-RU"/>
        </w:rPr>
        <w:t xml:space="preserve">Tout en reconnaissant les efforts importants </w:t>
      </w:r>
      <w:r>
        <w:rPr>
          <w:rFonts w:ascii="Times New Roman" w:hAnsi="Times New Roman" w:cs="Times New Roman"/>
          <w:sz w:val="22"/>
          <w:szCs w:val="22"/>
          <w:lang w:val="fr-FR" w:bidi="ru-RU"/>
        </w:rPr>
        <w:t xml:space="preserve">entrepris par </w:t>
      </w:r>
      <w:r w:rsidRPr="0004007A">
        <w:rPr>
          <w:rFonts w:ascii="Times New Roman" w:hAnsi="Times New Roman" w:cs="Times New Roman"/>
          <w:sz w:val="22"/>
          <w:szCs w:val="22"/>
          <w:lang w:val="fr-FR" w:bidi="ru-RU"/>
        </w:rPr>
        <w:t xml:space="preserve">la communauté de l’INTOSAI </w:t>
      </w:r>
      <w:r>
        <w:rPr>
          <w:rFonts w:ascii="Times New Roman" w:hAnsi="Times New Roman" w:cs="Times New Roman"/>
          <w:sz w:val="22"/>
          <w:szCs w:val="22"/>
          <w:lang w:val="fr-FR" w:bidi="ru-RU"/>
        </w:rPr>
        <w:t xml:space="preserve">à </w:t>
      </w:r>
      <w:r w:rsidRPr="0004007A">
        <w:rPr>
          <w:rFonts w:ascii="Times New Roman" w:hAnsi="Times New Roman" w:cs="Times New Roman"/>
          <w:sz w:val="22"/>
          <w:szCs w:val="22"/>
          <w:lang w:val="fr-FR" w:bidi="ru-RU"/>
        </w:rPr>
        <w:t xml:space="preserve">élaborer langage </w:t>
      </w:r>
      <w:r>
        <w:rPr>
          <w:rFonts w:ascii="Times New Roman" w:hAnsi="Times New Roman" w:cs="Times New Roman"/>
          <w:sz w:val="22"/>
          <w:szCs w:val="22"/>
          <w:lang w:val="fr-FR" w:bidi="ru-RU"/>
        </w:rPr>
        <w:t xml:space="preserve">commun pour </w:t>
      </w:r>
      <w:r w:rsidRPr="0004007A">
        <w:rPr>
          <w:rFonts w:ascii="Times New Roman" w:hAnsi="Times New Roman" w:cs="Times New Roman"/>
          <w:sz w:val="22"/>
          <w:szCs w:val="22"/>
          <w:lang w:val="fr-FR" w:bidi="ru-RU"/>
        </w:rPr>
        <w:t xml:space="preserve">l’audit, </w:t>
      </w:r>
      <w:r w:rsidRPr="00D96960">
        <w:rPr>
          <w:rFonts w:ascii="Times New Roman" w:hAnsi="Times New Roman" w:cs="Times New Roman"/>
          <w:sz w:val="22"/>
          <w:szCs w:val="22"/>
          <w:lang w:val="fr-FR" w:bidi="ru-RU"/>
        </w:rPr>
        <w:t xml:space="preserve">nous suggérons de discuter plus en détail de plusieurs concepts derrière ce terme afin de trouver un terrain d'entente et un langage communs. Comme nous en sommes aux premières étapes de la conceptualisation, nous essayons de définir provisoirement le terme </w:t>
      </w:r>
      <w:r>
        <w:rPr>
          <w:rFonts w:ascii="Times New Roman" w:hAnsi="Times New Roman" w:cs="Times New Roman"/>
          <w:sz w:val="22"/>
          <w:szCs w:val="22"/>
          <w:lang w:val="fr-FR" w:bidi="ru-RU"/>
        </w:rPr>
        <w:t>« audit stratégique »</w:t>
      </w:r>
      <w:r w:rsidRPr="00D96960">
        <w:rPr>
          <w:rFonts w:ascii="Times New Roman" w:hAnsi="Times New Roman" w:cs="Times New Roman"/>
          <w:sz w:val="22"/>
          <w:szCs w:val="22"/>
          <w:lang w:val="fr-FR" w:bidi="ru-RU"/>
        </w:rPr>
        <w:t xml:space="preserve"> à la section 2.4</w:t>
      </w:r>
      <w:r w:rsidRPr="0004007A">
        <w:rPr>
          <w:rFonts w:ascii="Times New Roman" w:hAnsi="Times New Roman" w:cs="Times New Roman"/>
          <w:sz w:val="22"/>
          <w:szCs w:val="22"/>
          <w:lang w:val="fr-FR" w:bidi="ru-RU"/>
        </w:rPr>
        <w:t>.</w:t>
      </w:r>
    </w:p>
  </w:footnote>
  <w:footnote w:id="6">
    <w:p w:rsidR="003F639B" w:rsidRPr="003F639B" w:rsidRDefault="003F639B" w:rsidP="003F639B">
      <w:pPr>
        <w:rPr>
          <w:rFonts w:ascii="Times New Roman" w:hAnsi="Times New Roman" w:cs="Times New Roman"/>
          <w:lang w:val="fr-FR" w:bidi="ru-RU"/>
        </w:rPr>
      </w:pPr>
      <w:r>
        <w:rPr>
          <w:rStyle w:val="af1"/>
        </w:rPr>
        <w:footnoteRef/>
      </w:r>
      <w:r w:rsidRPr="005E2018">
        <w:rPr>
          <w:lang w:val="fr-FR"/>
        </w:rPr>
        <w:t xml:space="preserve"> </w:t>
      </w:r>
      <w:r w:rsidRPr="003F639B">
        <w:rPr>
          <w:rFonts w:ascii="Times New Roman" w:hAnsi="Times New Roman" w:cs="Times New Roman"/>
          <w:lang w:val="fr-FR" w:bidi="ru-RU"/>
        </w:rPr>
        <w:t>Voir les Recommandations du Symposium ONU/INTOSAI 2013 intitulé Les fonctions de contrôle et de conseil des ISC : Risques et opportunités, ainsi que possibilités de participation des citoyens ».</w:t>
      </w:r>
    </w:p>
    <w:p w:rsidR="003F639B" w:rsidRPr="003F639B" w:rsidRDefault="003F639B">
      <w:pPr>
        <w:pStyle w:val="af"/>
        <w:rPr>
          <w:lang w:val="fr-FR"/>
        </w:rPr>
      </w:pPr>
    </w:p>
  </w:footnote>
  <w:footnote w:id="7">
    <w:p w:rsidR="00EF7595" w:rsidRPr="004B02F2" w:rsidRDefault="00EF7595" w:rsidP="00EF7595">
      <w:pPr>
        <w:rPr>
          <w:rFonts w:ascii="Times New Roman" w:hAnsi="Times New Roman" w:cs="Times New Roman"/>
          <w:sz w:val="20"/>
          <w:szCs w:val="20"/>
          <w:lang w:val="fr-FR" w:bidi="ru-RU"/>
        </w:rPr>
      </w:pPr>
      <w:r w:rsidRPr="00570445">
        <w:rPr>
          <w:rStyle w:val="af1"/>
          <w:rFonts w:ascii="Times New Roman" w:hAnsi="Times New Roman" w:cs="Times New Roman"/>
          <w:lang w:val="fr-FR" w:bidi="ru-RU"/>
        </w:rPr>
        <w:footnoteRef/>
      </w:r>
      <w:r w:rsidRPr="00570445">
        <w:rPr>
          <w:rFonts w:ascii="Times New Roman" w:hAnsi="Times New Roman" w:cs="Times New Roman"/>
          <w:lang w:val="fr-FR" w:bidi="ru-RU"/>
        </w:rPr>
        <w:t xml:space="preserve"> </w:t>
      </w:r>
      <w:r w:rsidRPr="004B02F2">
        <w:rPr>
          <w:rFonts w:ascii="Times New Roman" w:hAnsi="Times New Roman" w:cs="Times New Roman"/>
          <w:sz w:val="20"/>
          <w:szCs w:val="20"/>
          <w:lang w:val="fr-FR" w:bidi="ru-RU"/>
        </w:rPr>
        <w:t xml:space="preserve">Les données de performance sont également dénommées </w:t>
      </w:r>
      <w:r>
        <w:rPr>
          <w:rFonts w:ascii="Times New Roman" w:hAnsi="Times New Roman" w:cs="Times New Roman"/>
          <w:sz w:val="20"/>
          <w:szCs w:val="20"/>
          <w:lang w:val="fr-FR" w:bidi="ru-RU"/>
        </w:rPr>
        <w:t>« </w:t>
      </w:r>
      <w:r w:rsidRPr="004B02F2">
        <w:rPr>
          <w:rFonts w:ascii="Times New Roman" w:hAnsi="Times New Roman" w:cs="Times New Roman"/>
          <w:sz w:val="20"/>
          <w:szCs w:val="20"/>
          <w:lang w:val="fr-FR" w:bidi="ru-RU"/>
        </w:rPr>
        <w:t>données non financières</w:t>
      </w:r>
      <w:r>
        <w:rPr>
          <w:rFonts w:ascii="Times New Roman" w:hAnsi="Times New Roman" w:cs="Times New Roman"/>
          <w:sz w:val="20"/>
          <w:szCs w:val="20"/>
          <w:lang w:val="fr-FR" w:bidi="ru-RU"/>
        </w:rPr>
        <w:t> »</w:t>
      </w:r>
      <w:r w:rsidRPr="004B02F2">
        <w:rPr>
          <w:rFonts w:ascii="Times New Roman" w:hAnsi="Times New Roman" w:cs="Times New Roman"/>
          <w:sz w:val="20"/>
          <w:szCs w:val="20"/>
          <w:lang w:val="fr-FR" w:bidi="ru-RU"/>
        </w:rPr>
        <w:t xml:space="preserve"> ou </w:t>
      </w:r>
      <w:r>
        <w:rPr>
          <w:rFonts w:ascii="Times New Roman" w:hAnsi="Times New Roman" w:cs="Times New Roman"/>
          <w:sz w:val="20"/>
          <w:szCs w:val="20"/>
          <w:lang w:val="fr-FR" w:bidi="ru-RU"/>
        </w:rPr>
        <w:t>« </w:t>
      </w:r>
      <w:r w:rsidRPr="004B02F2">
        <w:rPr>
          <w:rFonts w:ascii="Times New Roman" w:hAnsi="Times New Roman" w:cs="Times New Roman"/>
          <w:sz w:val="20"/>
          <w:szCs w:val="20"/>
          <w:lang w:val="fr-FR" w:bidi="ru-RU"/>
        </w:rPr>
        <w:t xml:space="preserve">informations </w:t>
      </w:r>
      <w:r>
        <w:rPr>
          <w:rFonts w:ascii="Times New Roman" w:hAnsi="Times New Roman" w:cs="Times New Roman"/>
          <w:sz w:val="20"/>
          <w:szCs w:val="20"/>
          <w:lang w:val="fr-FR" w:bidi="ru-RU"/>
        </w:rPr>
        <w:t>sur la performance des services »</w:t>
      </w:r>
      <w:r w:rsidRPr="004B02F2">
        <w:rPr>
          <w:rFonts w:ascii="Times New Roman" w:hAnsi="Times New Roman" w:cs="Times New Roman"/>
          <w:sz w:val="20"/>
          <w:szCs w:val="20"/>
          <w:lang w:val="fr-FR" w:bidi="ru-RU"/>
        </w:rPr>
        <w:t xml:space="preserve"> dans le cadre des discussions du Conseil des normes comptables internationales du secteur public (IPSASB) : IPSASB (2013) Reporting Service Performance Information.</w:t>
      </w:r>
    </w:p>
    <w:p w:rsidR="00EF7595" w:rsidRPr="00570445" w:rsidRDefault="00EF7595" w:rsidP="00EF7595">
      <w:pPr>
        <w:pStyle w:val="af"/>
        <w:spacing w:after="60"/>
        <w:jc w:val="both"/>
        <w:rPr>
          <w:lang w:val="fr-FR"/>
        </w:rPr>
      </w:pPr>
    </w:p>
  </w:footnote>
  <w:footnote w:id="8">
    <w:p w:rsidR="00745EC7" w:rsidRPr="00F36E82" w:rsidRDefault="00745EC7" w:rsidP="00745EC7">
      <w:pPr>
        <w:pStyle w:val="2"/>
        <w:spacing w:before="0" w:beforeAutospacing="0" w:after="150" w:afterAutospacing="0"/>
      </w:pPr>
      <w:r w:rsidRPr="0004007A">
        <w:rPr>
          <w:rStyle w:val="af1"/>
          <w:b w:val="0"/>
          <w:sz w:val="20"/>
          <w:szCs w:val="20"/>
        </w:rPr>
        <w:footnoteRef/>
      </w:r>
      <w:r w:rsidRPr="00F36E82">
        <w:rPr>
          <w:b w:val="0"/>
          <w:sz w:val="20"/>
          <w:szCs w:val="20"/>
        </w:rPr>
        <w:t xml:space="preserve"> Voir OCDE (2016), </w:t>
      </w:r>
      <w:r w:rsidRPr="00257EF6">
        <w:rPr>
          <w:rFonts w:eastAsia="Times New Roman"/>
          <w:b w:val="0"/>
          <w:color w:val="000000" w:themeColor="text1"/>
          <w:sz w:val="20"/>
          <w:szCs w:val="20"/>
        </w:rPr>
        <w:t xml:space="preserve">Institutions supérieures de contrôle des finances publiques et bonne gouvernance : supervision, conseil et prospective, Examens sur la gouvernance publique, publication de l’OCDE, </w:t>
      </w:r>
      <w:r w:rsidRPr="00F36E82">
        <w:rPr>
          <w:b w:val="0"/>
          <w:color w:val="000000" w:themeColor="text1"/>
          <w:sz w:val="20"/>
          <w:szCs w:val="20"/>
        </w:rPr>
        <w:t xml:space="preserve">Paris, </w:t>
      </w:r>
      <w:r w:rsidRPr="00F36E82">
        <w:rPr>
          <w:b w:val="0"/>
          <w:sz w:val="20"/>
          <w:szCs w:val="20"/>
        </w:rPr>
        <w:t>https://www.oecd-ilibrary.org/fr/governance/institutions-superieures-de-controle-des-finances-publiques-et-bonne-gouvernance_9789264285613-fr</w:t>
      </w:r>
      <w:r w:rsidRPr="00F36E82">
        <w:rPr>
          <w:b w:val="0"/>
          <w:sz w:val="20"/>
          <w:szCs w:val="20"/>
          <w:lang w:bidi="ru-RU"/>
        </w:rPr>
        <w:t>.</w:t>
      </w:r>
    </w:p>
  </w:footnote>
  <w:footnote w:id="9">
    <w:p w:rsidR="00745EC7" w:rsidRPr="00F36E82" w:rsidRDefault="00745EC7">
      <w:pPr>
        <w:pStyle w:val="af"/>
        <w:rPr>
          <w:lang w:val="fr-FR"/>
        </w:rPr>
      </w:pPr>
      <w:r>
        <w:rPr>
          <w:rStyle w:val="af1"/>
        </w:rPr>
        <w:footnoteRef/>
      </w:r>
      <w:r w:rsidRPr="00F36E82">
        <w:rPr>
          <w:lang w:val="fr-FR"/>
        </w:rPr>
        <w:t xml:space="preserve"> </w:t>
      </w:r>
      <w:r w:rsidRPr="00F36E82">
        <w:rPr>
          <w:rFonts w:ascii="Times New Roman" w:hAnsi="Times New Roman" w:cs="Times New Roman"/>
          <w:lang w:val="fr-FR" w:bidi="ru-RU"/>
        </w:rPr>
        <w:t>Pour plus de pratiques et de défis en matière d'intégration, voir Nations Unies, 2018, Travailler ensemble : Intégration, institutions et objectifs de développement durable, Rapport sur le secteur public mondial 2018, Division de l'administration publique et de la gestion du développement, Département des affaires économiques et sociales (DPADM), New York, avril.</w:t>
      </w:r>
    </w:p>
  </w:footnote>
  <w:footnote w:id="10">
    <w:p w:rsidR="00745EC7" w:rsidRPr="008B2837" w:rsidRDefault="00745EC7" w:rsidP="00745EC7">
      <w:pPr>
        <w:pStyle w:val="af"/>
        <w:spacing w:after="60"/>
        <w:jc w:val="both"/>
        <w:rPr>
          <w:lang w:val="fr-FR"/>
        </w:rPr>
      </w:pPr>
      <w:r w:rsidRPr="008B2837">
        <w:rPr>
          <w:rStyle w:val="af1"/>
          <w:rFonts w:ascii="Times New Roman" w:hAnsi="Times New Roman" w:cs="Times New Roman"/>
          <w:lang w:val="fr-FR" w:bidi="ru-RU"/>
        </w:rPr>
        <w:footnoteRef/>
      </w:r>
      <w:r w:rsidRPr="00F36E82">
        <w:rPr>
          <w:rFonts w:ascii="Times New Roman" w:hAnsi="Times New Roman" w:cs="Times New Roman"/>
          <w:lang w:val="fr-FR" w:bidi="ru-RU"/>
        </w:rPr>
        <w:t xml:space="preserve"> </w:t>
      </w:r>
      <w:r w:rsidRPr="00CC329B">
        <w:rPr>
          <w:rFonts w:ascii="Times New Roman" w:hAnsi="Times New Roman" w:cs="Times New Roman"/>
          <w:lang w:val="fr-FR"/>
        </w:rPr>
        <w:t xml:space="preserve">Nous utilisons ici le terme </w:t>
      </w:r>
      <w:r>
        <w:rPr>
          <w:rFonts w:ascii="Times New Roman" w:hAnsi="Times New Roman" w:cs="Times New Roman"/>
          <w:lang w:val="fr-FR"/>
        </w:rPr>
        <w:t>d’audits « ponctuels »</w:t>
      </w:r>
      <w:r w:rsidRPr="00CC329B">
        <w:rPr>
          <w:rFonts w:ascii="Times New Roman" w:hAnsi="Times New Roman" w:cs="Times New Roman"/>
          <w:lang w:val="fr-FR"/>
        </w:rPr>
        <w:t xml:space="preserve"> mentionné dans (Mayne, 2006). </w:t>
      </w:r>
      <w:r>
        <w:rPr>
          <w:rFonts w:ascii="Times New Roman" w:hAnsi="Times New Roman" w:cs="Times New Roman"/>
          <w:lang w:val="fr-FR"/>
        </w:rPr>
        <w:t>« </w:t>
      </w:r>
      <w:r w:rsidRPr="00CC329B">
        <w:rPr>
          <w:rFonts w:ascii="Times New Roman" w:hAnsi="Times New Roman" w:cs="Times New Roman"/>
          <w:lang w:val="fr-FR"/>
        </w:rPr>
        <w:t>Vérification et évaluation en gestion publique : Défis, réformes et rôles différents.</w:t>
      </w:r>
      <w:r>
        <w:rPr>
          <w:rFonts w:ascii="Times New Roman" w:hAnsi="Times New Roman" w:cs="Times New Roman"/>
          <w:lang w:val="fr-FR"/>
        </w:rPr>
        <w:t> »</w:t>
      </w:r>
      <w:r w:rsidRPr="00CC329B">
        <w:rPr>
          <w:rFonts w:ascii="Times New Roman" w:hAnsi="Times New Roman" w:cs="Times New Roman"/>
          <w:lang w:val="fr-FR"/>
        </w:rPr>
        <w:t xml:space="preserve"> Revue canadienne d'évaluation de programmes 21,1 : 11-45</w:t>
      </w:r>
    </w:p>
  </w:footnote>
  <w:footnote w:id="11">
    <w:p w:rsidR="0004007A" w:rsidRPr="006801B5" w:rsidRDefault="0004007A" w:rsidP="00040CAE">
      <w:pPr>
        <w:pStyle w:val="af"/>
        <w:spacing w:after="60"/>
        <w:jc w:val="both"/>
        <w:rPr>
          <w:rFonts w:ascii="Times New Roman" w:hAnsi="Times New Roman" w:cs="Times New Roman"/>
          <w:lang w:val="fr-FR" w:bidi="ru-RU"/>
        </w:rPr>
      </w:pPr>
      <w:r w:rsidRPr="00D5549F">
        <w:rPr>
          <w:rStyle w:val="af1"/>
          <w:rFonts w:ascii="Times New Roman" w:hAnsi="Times New Roman" w:cs="Times New Roman"/>
          <w:lang w:val="fr-FR" w:bidi="ru-RU"/>
        </w:rPr>
        <w:footnoteRef/>
      </w:r>
      <w:r w:rsidRPr="006801B5">
        <w:rPr>
          <w:rFonts w:ascii="Times New Roman" w:hAnsi="Times New Roman" w:cs="Times New Roman"/>
          <w:lang w:val="fr-FR" w:bidi="ru-RU"/>
        </w:rPr>
        <w:t xml:space="preserve"> </w:t>
      </w:r>
      <w:r w:rsidRPr="006F360B">
        <w:rPr>
          <w:rFonts w:ascii="Times New Roman" w:hAnsi="Times New Roman" w:cs="Times New Roman"/>
          <w:lang w:val="fr-FR"/>
        </w:rPr>
        <w:t>Tels étaient les thèmes abordés lors du 24</w:t>
      </w:r>
      <w:r w:rsidRPr="0004007A">
        <w:rPr>
          <w:rFonts w:ascii="Times New Roman" w:hAnsi="Times New Roman" w:cs="Times New Roman"/>
          <w:vertAlign w:val="superscript"/>
          <w:lang w:val="fr-FR"/>
        </w:rPr>
        <w:t>ème</w:t>
      </w:r>
      <w:r w:rsidRPr="006F360B">
        <w:rPr>
          <w:rFonts w:ascii="Times New Roman" w:hAnsi="Times New Roman" w:cs="Times New Roman"/>
          <w:lang w:val="fr-FR"/>
        </w:rPr>
        <w:t xml:space="preserve"> Symposium ONU/INTOSAI sur </w:t>
      </w:r>
      <w:r>
        <w:rPr>
          <w:rFonts w:ascii="Times New Roman" w:hAnsi="Times New Roman" w:cs="Times New Roman"/>
          <w:lang w:val="fr-FR"/>
        </w:rPr>
        <w:t>« </w:t>
      </w:r>
      <w:r w:rsidRPr="006F360B">
        <w:rPr>
          <w:rFonts w:ascii="Times New Roman" w:hAnsi="Times New Roman" w:cs="Times New Roman"/>
          <w:lang w:val="fr-FR"/>
        </w:rPr>
        <w:t xml:space="preserve">La numérisation, les données ouvertes et l'exploration des données : pertinence et implications pour le travail d'audit des ISC et pour </w:t>
      </w:r>
      <w:r>
        <w:rPr>
          <w:rFonts w:ascii="Times New Roman" w:hAnsi="Times New Roman" w:cs="Times New Roman"/>
          <w:lang w:val="fr-FR"/>
        </w:rPr>
        <w:t>accroître leur contribution au suivi et à l’examen des ODD »,</w:t>
      </w:r>
      <w:r w:rsidRPr="006F360B">
        <w:rPr>
          <w:rFonts w:ascii="Times New Roman" w:hAnsi="Times New Roman" w:cs="Times New Roman"/>
          <w:lang w:val="fr-FR"/>
        </w:rPr>
        <w:t xml:space="preserve"> en 2017</w:t>
      </w:r>
      <w:r>
        <w:rPr>
          <w:rFonts w:ascii="Times New Roman" w:hAnsi="Times New Roman" w:cs="Times New Roman"/>
          <w:lang w:val="fr-FR"/>
        </w:rPr>
        <w:t>.</w:t>
      </w:r>
    </w:p>
  </w:footnote>
  <w:footnote w:id="12">
    <w:p w:rsidR="0004007A" w:rsidRPr="00105876" w:rsidRDefault="0004007A" w:rsidP="00DB66AD">
      <w:pPr>
        <w:pStyle w:val="af"/>
        <w:jc w:val="both"/>
        <w:rPr>
          <w:lang w:val="fr-FR"/>
        </w:rPr>
      </w:pPr>
      <w:r w:rsidRPr="00D5549F">
        <w:rPr>
          <w:rStyle w:val="af1"/>
          <w:lang w:val="fr-FR"/>
        </w:rPr>
        <w:footnoteRef/>
      </w:r>
      <w:r w:rsidRPr="00105876">
        <w:rPr>
          <w:lang w:val="fr-FR"/>
        </w:rPr>
        <w:t xml:space="preserve"> </w:t>
      </w:r>
      <w:r w:rsidRPr="00FB459C">
        <w:rPr>
          <w:rFonts w:ascii="Times New Roman" w:hAnsi="Times New Roman" w:cs="Times New Roman"/>
          <w:lang w:val="fr-FR"/>
        </w:rPr>
        <w:t>En 2018, l'Initiative de développement de l'INTOSAI a lancé un projet pilote de formation professionnelle pour les auditeurs des ISC - un programme de formation pour les auditeurs des ISC basé sur le Cadre de compétences de l'INTOSAI pour les professionnels de l'audit du secteur public</w:t>
      </w:r>
      <w:r>
        <w:rPr>
          <w:rFonts w:ascii="Times New Roman" w:hAnsi="Times New Roman" w:cs="Times New Roman"/>
          <w:lang w:val="fr-FR"/>
        </w:rPr>
        <w:t>.</w:t>
      </w:r>
    </w:p>
  </w:footnote>
  <w:footnote w:id="13">
    <w:p w:rsidR="000B5460" w:rsidRPr="00886BDF" w:rsidRDefault="000B5460" w:rsidP="000B5460">
      <w:pPr>
        <w:pStyle w:val="af"/>
        <w:jc w:val="both"/>
        <w:rPr>
          <w:lang w:val="fr-FR"/>
        </w:rPr>
      </w:pPr>
      <w:r w:rsidRPr="00AA43D2">
        <w:rPr>
          <w:rStyle w:val="af1"/>
          <w:lang w:val="fr-FR" w:bidi="ru-RU"/>
        </w:rPr>
        <w:footnoteRef/>
      </w:r>
      <w:r w:rsidRPr="00886BDF">
        <w:rPr>
          <w:lang w:val="fr-FR"/>
        </w:rPr>
        <w:t xml:space="preserve"> </w:t>
      </w:r>
      <w:r>
        <w:rPr>
          <w:vertAlign w:val="superscript"/>
          <w:lang w:val="fr-FR"/>
        </w:rPr>
        <w:t xml:space="preserve"> </w:t>
      </w:r>
      <w:r>
        <w:rPr>
          <w:rFonts w:ascii="Times New Roman" w:hAnsi="Times New Roman" w:cs="Times New Roman"/>
          <w:lang w:val="fr-FR"/>
        </w:rPr>
        <w:t xml:space="preserve">Voir aussi les </w:t>
      </w:r>
      <w:r w:rsidRPr="00886BDF">
        <w:rPr>
          <w:rFonts w:ascii="Times New Roman" w:hAnsi="Times New Roman" w:cs="Times New Roman"/>
          <w:lang w:val="fr-FR"/>
        </w:rPr>
        <w:t xml:space="preserve">résultats de la réunion des dirigeants </w:t>
      </w:r>
      <w:r>
        <w:rPr>
          <w:rFonts w:ascii="Times New Roman" w:hAnsi="Times New Roman" w:cs="Times New Roman"/>
          <w:lang w:val="fr-FR"/>
        </w:rPr>
        <w:t xml:space="preserve">des </w:t>
      </w:r>
      <w:r w:rsidRPr="00886BDF">
        <w:rPr>
          <w:rFonts w:ascii="Times New Roman" w:hAnsi="Times New Roman" w:cs="Times New Roman"/>
          <w:lang w:val="fr-FR"/>
        </w:rPr>
        <w:t xml:space="preserve">ISA </w:t>
      </w:r>
      <w:r>
        <w:rPr>
          <w:rFonts w:ascii="Times New Roman" w:hAnsi="Times New Roman" w:cs="Times New Roman"/>
          <w:lang w:val="fr-FR"/>
        </w:rPr>
        <w:t xml:space="preserve">et des parties prenantes sur le sujet </w:t>
      </w:r>
      <w:r w:rsidRPr="00886BDF">
        <w:rPr>
          <w:rFonts w:ascii="Times New Roman" w:hAnsi="Times New Roman" w:cs="Times New Roman"/>
          <w:lang w:val="fr-FR"/>
        </w:rPr>
        <w:t>«</w:t>
      </w:r>
      <w:r>
        <w:rPr>
          <w:rFonts w:ascii="Times New Roman" w:hAnsi="Times New Roman" w:cs="Times New Roman"/>
          <w:lang w:val="fr-FR"/>
        </w:rPr>
        <w:t xml:space="preserve"> La Contribution des Institutions suprêmes d’audit aux Objectifs </w:t>
      </w:r>
      <w:r w:rsidRPr="00886BDF">
        <w:rPr>
          <w:rFonts w:ascii="Times New Roman" w:hAnsi="Times New Roman" w:cs="Times New Roman"/>
          <w:lang w:val="fr-FR"/>
        </w:rPr>
        <w:t>d</w:t>
      </w:r>
      <w:r>
        <w:rPr>
          <w:rFonts w:ascii="Times New Roman" w:hAnsi="Times New Roman" w:cs="Times New Roman"/>
          <w:lang w:val="fr-FR"/>
        </w:rPr>
        <w:t>e</w:t>
      </w:r>
      <w:r w:rsidRPr="00886BDF">
        <w:rPr>
          <w:rFonts w:ascii="Times New Roman" w:hAnsi="Times New Roman" w:cs="Times New Roman"/>
          <w:lang w:val="fr-FR"/>
        </w:rPr>
        <w:t xml:space="preserve"> développement durable (</w:t>
      </w:r>
      <w:r>
        <w:rPr>
          <w:rFonts w:ascii="Times New Roman" w:hAnsi="Times New Roman" w:cs="Times New Roman"/>
          <w:lang w:val="fr-FR"/>
        </w:rPr>
        <w:t>ODD</w:t>
      </w:r>
      <w:r w:rsidRPr="00886BDF">
        <w:rPr>
          <w:rFonts w:ascii="Times New Roman" w:hAnsi="Times New Roman" w:cs="Times New Roman"/>
          <w:lang w:val="fr-FR"/>
        </w:rPr>
        <w:t>)</w:t>
      </w:r>
      <w:r>
        <w:rPr>
          <w:rFonts w:ascii="Times New Roman" w:hAnsi="Times New Roman" w:cs="Times New Roman"/>
          <w:lang w:val="fr-FR"/>
        </w:rPr>
        <w:t> </w:t>
      </w:r>
      <w:r w:rsidRPr="00886BDF">
        <w:rPr>
          <w:rFonts w:ascii="Times New Roman" w:hAnsi="Times New Roman" w:cs="Times New Roman"/>
          <w:lang w:val="fr-FR"/>
        </w:rPr>
        <w:t xml:space="preserve">» </w:t>
      </w:r>
      <w:r>
        <w:rPr>
          <w:rFonts w:ascii="Times New Roman" w:hAnsi="Times New Roman" w:cs="Times New Roman"/>
          <w:lang w:val="fr-FR"/>
        </w:rPr>
        <w:t xml:space="preserve">en juillet </w:t>
      </w:r>
      <w:r w:rsidRPr="00886BDF">
        <w:rPr>
          <w:rFonts w:ascii="Times New Roman" w:hAnsi="Times New Roman" w:cs="Times New Roman"/>
          <w:lang w:val="fr-FR"/>
        </w:rPr>
        <w:t>2018 (Département des affaires économiques et sociales des Nations Unies, Initiative de développement INTOSAI).</w:t>
      </w:r>
      <w:r>
        <w:rPr>
          <w:rFonts w:ascii="Times New Roman" w:hAnsi="Times New Roman" w:cs="Times New Roman"/>
          <w:lang w:val="fr-FR"/>
        </w:rPr>
        <w:t xml:space="preserve"> </w:t>
      </w:r>
      <w:r w:rsidRPr="00E8234C">
        <w:rPr>
          <w:rFonts w:ascii="Times New Roman" w:hAnsi="Times New Roman" w:cs="Times New Roman"/>
          <w:lang w:val="fr-FR"/>
        </w:rPr>
        <w:t>Voir également les résultats de la réunion d</w:t>
      </w:r>
      <w:r>
        <w:rPr>
          <w:rFonts w:ascii="Times New Roman" w:hAnsi="Times New Roman" w:cs="Times New Roman"/>
          <w:lang w:val="fr-FR"/>
        </w:rPr>
        <w:t>u Leadership des ISC et</w:t>
      </w:r>
      <w:r w:rsidRPr="00E8234C">
        <w:rPr>
          <w:rFonts w:ascii="Times New Roman" w:hAnsi="Times New Roman" w:cs="Times New Roman"/>
          <w:lang w:val="fr-FR"/>
        </w:rPr>
        <w:t xml:space="preserve"> parties prenantes intitulée </w:t>
      </w:r>
      <w:r>
        <w:rPr>
          <w:rFonts w:ascii="Times New Roman" w:hAnsi="Times New Roman" w:cs="Times New Roman"/>
          <w:lang w:val="fr-FR"/>
        </w:rPr>
        <w:t>« Participation</w:t>
      </w:r>
      <w:r w:rsidRPr="00E8234C">
        <w:rPr>
          <w:rFonts w:ascii="Times New Roman" w:hAnsi="Times New Roman" w:cs="Times New Roman"/>
          <w:lang w:val="fr-FR"/>
        </w:rPr>
        <w:t xml:space="preserve"> des institutions supérieures de contrôle des finances publiques aux objectifs de développement durable (ODD)</w:t>
      </w:r>
      <w:r>
        <w:rPr>
          <w:rFonts w:ascii="Times New Roman" w:hAnsi="Times New Roman" w:cs="Times New Roman"/>
          <w:lang w:val="fr-FR"/>
        </w:rPr>
        <w:t> »</w:t>
      </w:r>
      <w:r w:rsidRPr="00E8234C">
        <w:rPr>
          <w:rFonts w:ascii="Times New Roman" w:hAnsi="Times New Roman" w:cs="Times New Roman"/>
          <w:lang w:val="fr-FR"/>
        </w:rPr>
        <w:t xml:space="preserve"> (Département des affaires économiques et sociales des nations Unies, Initiative de développement de l'INTOSAI), juillet 2018</w:t>
      </w:r>
      <w:r>
        <w:rPr>
          <w:rFonts w:ascii="Times New Roman" w:hAnsi="Times New Roman" w:cs="Times New Roman"/>
          <w:lang w:val="fr-FR"/>
        </w:rPr>
        <w:t>.</w:t>
      </w:r>
    </w:p>
  </w:footnote>
  <w:footnote w:id="14">
    <w:p w:rsidR="009746DE" w:rsidRDefault="009746DE" w:rsidP="009746DE">
      <w:pPr>
        <w:pStyle w:val="af"/>
        <w:spacing w:after="60"/>
        <w:jc w:val="both"/>
        <w:rPr>
          <w:rFonts w:ascii="Times New Roman" w:hAnsi="Times New Roman" w:cs="Times New Roman"/>
          <w:lang w:val="fr-FR" w:bidi="ru-RU"/>
        </w:rPr>
      </w:pPr>
      <w:r w:rsidRPr="009746DE">
        <w:rPr>
          <w:rStyle w:val="af1"/>
          <w:rFonts w:ascii="Times New Roman" w:hAnsi="Times New Roman" w:cs="Times New Roman"/>
          <w:lang w:val="fr-FR" w:bidi="ru-RU"/>
        </w:rPr>
        <w:footnoteRef/>
      </w:r>
      <w:r w:rsidRPr="009746DE">
        <w:rPr>
          <w:rFonts w:ascii="Times New Roman" w:hAnsi="Times New Roman" w:cs="Times New Roman"/>
          <w:lang w:val="fr-FR" w:bidi="ru-RU"/>
        </w:rPr>
        <w:t xml:space="preserve"> </w:t>
      </w:r>
      <w:r w:rsidRPr="000B2D1C">
        <w:rPr>
          <w:rFonts w:ascii="Times New Roman" w:hAnsi="Times New Roman" w:cs="Times New Roman"/>
          <w:lang w:val="fr-FR" w:bidi="ru-RU"/>
        </w:rPr>
        <w:t xml:space="preserve">Cour fédérale des comptes - Brésil (2016) </w:t>
      </w:r>
    </w:p>
    <w:p w:rsidR="009746DE" w:rsidRPr="006A6B35" w:rsidRDefault="009746DE" w:rsidP="009746DE">
      <w:pPr>
        <w:pStyle w:val="af"/>
        <w:spacing w:after="60"/>
        <w:jc w:val="both"/>
        <w:rPr>
          <w:rFonts w:ascii="Times New Roman" w:hAnsi="Times New Roman" w:cs="Times New Roman"/>
          <w:lang w:val="fr-FR"/>
        </w:rPr>
      </w:pPr>
      <w:r>
        <w:rPr>
          <w:rFonts w:ascii="Times New Roman" w:hAnsi="Times New Roman" w:cs="Times New Roman"/>
          <w:lang w:val="fr-FR" w:bidi="ru-RU"/>
        </w:rPr>
        <w:t>« </w:t>
      </w:r>
      <w:r w:rsidRPr="000B2D1C">
        <w:rPr>
          <w:rFonts w:ascii="Times New Roman" w:hAnsi="Times New Roman" w:cs="Times New Roman"/>
          <w:lang w:val="fr-FR" w:bidi="ru-RU"/>
        </w:rPr>
        <w:t>Lignes directrices pour l'évaluation de la gouvernance du Centre du gouvernement</w:t>
      </w:r>
      <w:r>
        <w:rPr>
          <w:rFonts w:ascii="Times New Roman" w:hAnsi="Times New Roman" w:cs="Times New Roman"/>
          <w:lang w:val="fr-FR" w:bidi="ru-RU"/>
        </w:rPr>
        <w:t xml:space="preserve"> » </w:t>
      </w:r>
      <w:hyperlink r:id="rId1" w:history="1">
        <w:r w:rsidRPr="00030232">
          <w:rPr>
            <w:rStyle w:val="a5"/>
            <w:rFonts w:ascii="Times New Roman" w:hAnsi="Times New Roman" w:cs="Times New Roman"/>
            <w:lang w:val="fr-FR" w:bidi="ru-RU"/>
          </w:rPr>
          <w:t>https://portal.tcu.gov.br/</w:t>
        </w:r>
      </w:hyperlink>
      <w:r w:rsidRPr="000B2D1C">
        <w:rPr>
          <w:rFonts w:ascii="Times New Roman" w:hAnsi="Times New Roman" w:cs="Times New Roman"/>
          <w:lang w:val="fr-FR" w:bidi="ru-RU"/>
        </w:rPr>
        <w:t>lumis/portal/file/fileDownload.jsp?fileId=8A8182A2589BC8D301589C881C61792C</w:t>
      </w:r>
      <w:r w:rsidRPr="006A6B35">
        <w:rPr>
          <w:rFonts w:ascii="Times New Roman" w:hAnsi="Times New Roman" w:cs="Times New Roman"/>
          <w:lang w:val="fr-FR"/>
        </w:rPr>
        <w:t xml:space="preserve"> </w:t>
      </w:r>
    </w:p>
  </w:footnote>
  <w:footnote w:id="15">
    <w:p w:rsidR="00D8255A" w:rsidRPr="000B2D1C" w:rsidRDefault="00D8255A" w:rsidP="00D8255A">
      <w:pPr>
        <w:pStyle w:val="af"/>
        <w:jc w:val="both"/>
        <w:rPr>
          <w:lang w:val="fr-FR"/>
        </w:rPr>
      </w:pPr>
      <w:r w:rsidRPr="00D8255A">
        <w:rPr>
          <w:rStyle w:val="af1"/>
          <w:lang w:val="fr-FR" w:bidi="ru-RU"/>
        </w:rPr>
        <w:footnoteRef/>
      </w:r>
      <w:r w:rsidRPr="00D8255A">
        <w:rPr>
          <w:rFonts w:ascii="Times New Roman" w:hAnsi="Times New Roman" w:cs="Times New Roman"/>
          <w:lang w:val="fr-FR"/>
        </w:rPr>
        <w:t xml:space="preserve"> </w:t>
      </w:r>
      <w:r w:rsidRPr="0004007A">
        <w:rPr>
          <w:rFonts w:ascii="Times New Roman" w:hAnsi="Times New Roman" w:cs="Times New Roman"/>
          <w:lang w:val="fr-FR"/>
        </w:rPr>
        <w:t>L'inclusivité fait partie des principes d'une gouvernance efficace élaborés par le Département des affaires économiques et sociales des NU, Comité d'experts de l'administration publique (Principes d'une gouvernance efficace,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42999"/>
      <w:docPartObj>
        <w:docPartGallery w:val="Page Numbers (Top of Page)"/>
        <w:docPartUnique/>
      </w:docPartObj>
    </w:sdtPr>
    <w:sdtEndPr>
      <w:rPr>
        <w:rFonts w:ascii="Times New Roman" w:hAnsi="Times New Roman" w:cs="Times New Roman"/>
      </w:rPr>
    </w:sdtEndPr>
    <w:sdtContent>
      <w:p w:rsidR="0004007A" w:rsidRPr="00C304BD" w:rsidRDefault="0004007A" w:rsidP="00C304BD">
        <w:pPr>
          <w:pStyle w:val="a7"/>
          <w:jc w:val="center"/>
          <w:rPr>
            <w:rFonts w:ascii="Times New Roman" w:hAnsi="Times New Roman" w:cs="Times New Roman"/>
          </w:rPr>
        </w:pPr>
        <w:r w:rsidRPr="00C304BD">
          <w:rPr>
            <w:rFonts w:ascii="Times New Roman" w:hAnsi="Times New Roman" w:cs="Times New Roman"/>
          </w:rPr>
          <w:fldChar w:fldCharType="begin"/>
        </w:r>
        <w:r w:rsidRPr="00C304BD">
          <w:rPr>
            <w:rFonts w:ascii="Times New Roman" w:hAnsi="Times New Roman" w:cs="Times New Roman"/>
          </w:rPr>
          <w:instrText>PAGE   \* MERGEFORMAT</w:instrText>
        </w:r>
        <w:r w:rsidRPr="00C304BD">
          <w:rPr>
            <w:rFonts w:ascii="Times New Roman" w:hAnsi="Times New Roman" w:cs="Times New Roman"/>
          </w:rPr>
          <w:fldChar w:fldCharType="separate"/>
        </w:r>
        <w:r w:rsidR="00297EC0">
          <w:rPr>
            <w:rFonts w:ascii="Times New Roman" w:hAnsi="Times New Roman" w:cs="Times New Roman"/>
            <w:noProof/>
          </w:rPr>
          <w:t>19</w:t>
        </w:r>
        <w:r w:rsidRPr="00C304BD">
          <w:rPr>
            <w:rFonts w:ascii="Times New Roman" w:hAnsi="Times New Roman" w:cs="Times New Roman"/>
          </w:rPr>
          <w:fldChar w:fldCharType="end"/>
        </w:r>
      </w:p>
    </w:sdtContent>
  </w:sdt>
  <w:p w:rsidR="0004007A" w:rsidRDefault="0004007A">
    <w:pPr>
      <w:pStyle w:val="a7"/>
    </w:pPr>
  </w:p>
  <w:p w:rsidR="0004007A" w:rsidRDefault="0004007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4EA7"/>
    <w:multiLevelType w:val="hybridMultilevel"/>
    <w:tmpl w:val="091CBF44"/>
    <w:lvl w:ilvl="0" w:tplc="4426BA1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117A9F"/>
    <w:multiLevelType w:val="hybridMultilevel"/>
    <w:tmpl w:val="63ECC9AE"/>
    <w:lvl w:ilvl="0" w:tplc="6F2A2B8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413784C"/>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916917"/>
    <w:multiLevelType w:val="multilevel"/>
    <w:tmpl w:val="A13AA85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i w:val="0"/>
        <w:color w:val="auto"/>
        <w:lang w:val="ru-RU"/>
      </w:rPr>
    </w:lvl>
    <w:lvl w:ilvl="2">
      <w:start w:val="1"/>
      <w:numFmt w:val="decimal"/>
      <w:lvlText w:val="%1.%2.%3."/>
      <w:lvlJc w:val="left"/>
      <w:pPr>
        <w:ind w:left="1224" w:hanging="504"/>
      </w:pPr>
      <w:rPr>
        <w:rFonts w:hint="default"/>
        <w:b w:val="0"/>
        <w:i w:val="0"/>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454AD9"/>
    <w:multiLevelType w:val="hybridMultilevel"/>
    <w:tmpl w:val="384ADC84"/>
    <w:lvl w:ilvl="0" w:tplc="3BD27584">
      <w:start w:val="1"/>
      <w:numFmt w:val="decimal"/>
      <w:lvlText w:val="%1."/>
      <w:lvlJc w:val="left"/>
      <w:pPr>
        <w:ind w:left="927" w:hanging="360"/>
      </w:pPr>
      <w:rPr>
        <w:rFonts w:ascii="Times New Roman" w:hAnsi="Times New Roman" w:cs="Times New Roman"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7175F0"/>
    <w:multiLevelType w:val="multilevel"/>
    <w:tmpl w:val="4A448106"/>
    <w:lvl w:ilvl="0">
      <w:start w:val="1"/>
      <w:numFmt w:val="decimal"/>
      <w:lvlText w:val="%1."/>
      <w:lvlJc w:val="left"/>
      <w:pPr>
        <w:ind w:left="360" w:hanging="360"/>
      </w:pPr>
    </w:lvl>
    <w:lvl w:ilvl="1">
      <w:start w:val="1"/>
      <w:numFmt w:val="decimal"/>
      <w:lvlText w:val="%1.%2."/>
      <w:lvlJc w:val="left"/>
      <w:pPr>
        <w:ind w:left="792" w:hanging="432"/>
      </w:pPr>
      <w:rPr>
        <w:b w:val="0"/>
        <w:i w:val="0"/>
        <w:strike w:val="0"/>
        <w:color w:val="auto"/>
        <w:lang w:val="ru-RU"/>
      </w:rPr>
    </w:lvl>
    <w:lvl w:ilvl="2">
      <w:start w:val="1"/>
      <w:numFmt w:val="decimal"/>
      <w:lvlText w:val="%1.%2.%3."/>
      <w:lvlJc w:val="left"/>
      <w:pPr>
        <w:ind w:left="1922" w:hanging="504"/>
      </w:pPr>
      <w:rPr>
        <w:b w:val="0"/>
        <w:i w:val="0"/>
        <w:strike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F5704B1"/>
    <w:multiLevelType w:val="hybridMultilevel"/>
    <w:tmpl w:val="E8B87C0E"/>
    <w:lvl w:ilvl="0" w:tplc="97F2A970">
      <w:start w:val="1"/>
      <w:numFmt w:val="decimal"/>
      <w:pStyle w:val="1"/>
      <w:lvlText w:val="%1."/>
      <w:lvlJc w:val="left"/>
      <w:pPr>
        <w:ind w:left="360" w:hanging="360"/>
      </w:pPr>
      <w:rPr>
        <w:rFonts w:ascii="Times New Roman" w:hAnsi="Times New Roman" w:cs="Times New Roman"/>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A76133"/>
    <w:multiLevelType w:val="hybridMultilevel"/>
    <w:tmpl w:val="9724C9D2"/>
    <w:lvl w:ilvl="0" w:tplc="F0A0EBCA">
      <w:start w:val="1"/>
      <w:numFmt w:val="decimal"/>
      <w:lvlText w:val="%1."/>
      <w:lvlJc w:val="left"/>
      <w:pPr>
        <w:ind w:left="927" w:hanging="360"/>
      </w:pPr>
      <w:rPr>
        <w:rFonts w:ascii="Times New Roman" w:hAnsi="Times New Roman" w:cs="Times New Roman" w:hint="default"/>
        <w:b/>
        <w:i w:val="0"/>
        <w:strike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4173A09"/>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3062FE"/>
    <w:multiLevelType w:val="hybridMultilevel"/>
    <w:tmpl w:val="09149B3A"/>
    <w:lvl w:ilvl="0" w:tplc="16DC604E">
      <w:start w:val="1"/>
      <w:numFmt w:val="decimal"/>
      <w:lvlText w:val="%1."/>
      <w:lvlJc w:val="left"/>
      <w:pPr>
        <w:ind w:left="927" w:hanging="360"/>
      </w:pPr>
      <w:rPr>
        <w:rFonts w:ascii="Times New Roman" w:hAnsi="Times New Roman" w:cs="Times New Roman" w:hint="default"/>
        <w:b/>
        <w:i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3AA3F8F"/>
    <w:multiLevelType w:val="hybridMultilevel"/>
    <w:tmpl w:val="63ECC9AE"/>
    <w:lvl w:ilvl="0" w:tplc="6F2A2B8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7FE5706"/>
    <w:multiLevelType w:val="hybridMultilevel"/>
    <w:tmpl w:val="091CBF44"/>
    <w:lvl w:ilvl="0" w:tplc="4426BA1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CAB2ACC"/>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CDB607C"/>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4412B7F"/>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75A034F"/>
    <w:multiLevelType w:val="hybridMultilevel"/>
    <w:tmpl w:val="D56C2F06"/>
    <w:lvl w:ilvl="0" w:tplc="9EFCBF1E">
      <w:start w:val="1"/>
      <w:numFmt w:val="decimal"/>
      <w:lvlText w:val="%1."/>
      <w:lvlJc w:val="left"/>
      <w:pPr>
        <w:ind w:left="360" w:hanging="360"/>
      </w:pPr>
      <w:rPr>
        <w:color w:val="261CA4"/>
      </w:rPr>
    </w:lvl>
    <w:lvl w:ilvl="1" w:tplc="0C070019">
      <w:start w:val="1"/>
      <w:numFmt w:val="lowerLetter"/>
      <w:lvlText w:val="%2."/>
      <w:lvlJc w:val="left"/>
      <w:pPr>
        <w:ind w:left="1080" w:hanging="360"/>
      </w:pPr>
    </w:lvl>
    <w:lvl w:ilvl="2" w:tplc="0C07001B">
      <w:start w:val="1"/>
      <w:numFmt w:val="lowerRoman"/>
      <w:lvlText w:val="%3."/>
      <w:lvlJc w:val="right"/>
      <w:pPr>
        <w:ind w:left="1800" w:hanging="180"/>
      </w:pPr>
    </w:lvl>
    <w:lvl w:ilvl="3" w:tplc="0C07000F">
      <w:start w:val="1"/>
      <w:numFmt w:val="decimal"/>
      <w:lvlText w:val="%4."/>
      <w:lvlJc w:val="left"/>
      <w:pPr>
        <w:ind w:left="2520" w:hanging="360"/>
      </w:pPr>
    </w:lvl>
    <w:lvl w:ilvl="4" w:tplc="0C070019">
      <w:start w:val="1"/>
      <w:numFmt w:val="lowerLetter"/>
      <w:lvlText w:val="%5."/>
      <w:lvlJc w:val="left"/>
      <w:pPr>
        <w:ind w:left="3240" w:hanging="360"/>
      </w:pPr>
    </w:lvl>
    <w:lvl w:ilvl="5" w:tplc="0C07001B">
      <w:start w:val="1"/>
      <w:numFmt w:val="lowerRoman"/>
      <w:lvlText w:val="%6."/>
      <w:lvlJc w:val="right"/>
      <w:pPr>
        <w:ind w:left="3960" w:hanging="180"/>
      </w:pPr>
    </w:lvl>
    <w:lvl w:ilvl="6" w:tplc="0C07000F">
      <w:start w:val="1"/>
      <w:numFmt w:val="decimal"/>
      <w:lvlText w:val="%7."/>
      <w:lvlJc w:val="left"/>
      <w:pPr>
        <w:ind w:left="4680" w:hanging="360"/>
      </w:pPr>
    </w:lvl>
    <w:lvl w:ilvl="7" w:tplc="0C070019">
      <w:start w:val="1"/>
      <w:numFmt w:val="lowerLetter"/>
      <w:lvlText w:val="%8."/>
      <w:lvlJc w:val="left"/>
      <w:pPr>
        <w:ind w:left="5400" w:hanging="360"/>
      </w:pPr>
    </w:lvl>
    <w:lvl w:ilvl="8" w:tplc="0C07001B">
      <w:start w:val="1"/>
      <w:numFmt w:val="lowerRoman"/>
      <w:lvlText w:val="%9."/>
      <w:lvlJc w:val="right"/>
      <w:pPr>
        <w:ind w:left="6120" w:hanging="180"/>
      </w:pPr>
    </w:lvl>
  </w:abstractNum>
  <w:abstractNum w:abstractNumId="16">
    <w:nsid w:val="48A07392"/>
    <w:multiLevelType w:val="hybridMultilevel"/>
    <w:tmpl w:val="09149B3A"/>
    <w:lvl w:ilvl="0" w:tplc="16DC604E">
      <w:start w:val="1"/>
      <w:numFmt w:val="decimal"/>
      <w:lvlText w:val="%1."/>
      <w:lvlJc w:val="left"/>
      <w:pPr>
        <w:ind w:left="927" w:hanging="360"/>
      </w:pPr>
      <w:rPr>
        <w:rFonts w:ascii="Times New Roman" w:hAnsi="Times New Roman" w:cs="Times New Roman" w:hint="default"/>
        <w:b/>
        <w:i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B34401A"/>
    <w:multiLevelType w:val="hybridMultilevel"/>
    <w:tmpl w:val="C864628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900003"/>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0C5363D"/>
    <w:multiLevelType w:val="hybridMultilevel"/>
    <w:tmpl w:val="7AC699E6"/>
    <w:lvl w:ilvl="0" w:tplc="7958B3AC">
      <w:start w:val="1"/>
      <w:numFmt w:val="bullet"/>
      <w:lvlText w:val=""/>
      <w:lvlJc w:val="left"/>
      <w:pPr>
        <w:ind w:left="720" w:hanging="360"/>
      </w:pPr>
      <w:rPr>
        <w:rFonts w:ascii="Symbol" w:hAnsi="Symbol" w:hint="default"/>
      </w:rPr>
    </w:lvl>
    <w:lvl w:ilvl="1" w:tplc="BD1EE2B8">
      <w:start w:val="2"/>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186DCB"/>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3D939D3"/>
    <w:multiLevelType w:val="multilevel"/>
    <w:tmpl w:val="2A0A136A"/>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63839EB"/>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F6F3796"/>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5E100EE"/>
    <w:multiLevelType w:val="multilevel"/>
    <w:tmpl w:val="EBACAF3A"/>
    <w:lvl w:ilvl="0">
      <w:start w:val="2"/>
      <w:numFmt w:val="decimal"/>
      <w:lvlText w:val="%1."/>
      <w:lvlJc w:val="left"/>
      <w:pPr>
        <w:ind w:left="360" w:hanging="360"/>
      </w:pPr>
      <w:rPr>
        <w:rFonts w:hint="default"/>
      </w:rPr>
    </w:lvl>
    <w:lvl w:ilvl="1">
      <w:start w:val="9"/>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98E7DA1"/>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F12D0D"/>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6"/>
  </w:num>
  <w:num w:numId="3">
    <w:abstractNumId w:val="5"/>
  </w:num>
  <w:num w:numId="4">
    <w:abstractNumId w:val="25"/>
  </w:num>
  <w:num w:numId="5">
    <w:abstractNumId w:val="21"/>
  </w:num>
  <w:num w:numId="6">
    <w:abstractNumId w:val="23"/>
  </w:num>
  <w:num w:numId="7">
    <w:abstractNumId w:val="13"/>
  </w:num>
  <w:num w:numId="8">
    <w:abstractNumId w:val="18"/>
  </w:num>
  <w:num w:numId="9">
    <w:abstractNumId w:val="26"/>
  </w:num>
  <w:num w:numId="10">
    <w:abstractNumId w:val="16"/>
  </w:num>
  <w:num w:numId="11">
    <w:abstractNumId w:val="11"/>
  </w:num>
  <w:num w:numId="12">
    <w:abstractNumId w:val="0"/>
  </w:num>
  <w:num w:numId="13">
    <w:abstractNumId w:val="17"/>
  </w:num>
  <w:num w:numId="14">
    <w:abstractNumId w:val="1"/>
  </w:num>
  <w:num w:numId="15">
    <w:abstractNumId w:val="4"/>
  </w:num>
  <w:num w:numId="16">
    <w:abstractNumId w:val="10"/>
  </w:num>
  <w:num w:numId="17">
    <w:abstractNumId w:val="6"/>
  </w:num>
  <w:num w:numId="18">
    <w:abstractNumId w:val="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num>
  <w:num w:numId="23">
    <w:abstractNumId w:val="6"/>
  </w:num>
  <w:num w:numId="24">
    <w:abstractNumId w:val="6"/>
  </w:num>
  <w:num w:numId="25">
    <w:abstractNumId w:val="12"/>
  </w:num>
  <w:num w:numId="26">
    <w:abstractNumId w:val="2"/>
  </w:num>
  <w:num w:numId="27">
    <w:abstractNumId w:val="8"/>
  </w:num>
  <w:num w:numId="28">
    <w:abstractNumId w:val="6"/>
  </w:num>
  <w:num w:numId="29">
    <w:abstractNumId w:val="6"/>
  </w:num>
  <w:num w:numId="30">
    <w:abstractNumId w:val="22"/>
  </w:num>
  <w:num w:numId="31">
    <w:abstractNumId w:val="3"/>
  </w:num>
  <w:num w:numId="32">
    <w:abstractNumId w:val="24"/>
  </w:num>
  <w:num w:numId="33">
    <w:abstractNumId w:val="14"/>
  </w:num>
  <w:num w:numId="34">
    <w:abstractNumId w:val="20"/>
  </w:num>
  <w:num w:numId="35">
    <w:abstractNumId w:val="7"/>
  </w:num>
  <w:num w:numId="36">
    <w:abstractNumId w:val="9"/>
  </w:num>
  <w:num w:numId="37">
    <w:abstractNumId w:val="6"/>
  </w:num>
  <w:num w:numId="38">
    <w:abstractNumId w:val="6"/>
  </w:num>
  <w:num w:numId="3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35"/>
    <w:rsid w:val="000022E1"/>
    <w:rsid w:val="00004520"/>
    <w:rsid w:val="00006E72"/>
    <w:rsid w:val="00007F6D"/>
    <w:rsid w:val="00010B09"/>
    <w:rsid w:val="00012F36"/>
    <w:rsid w:val="00015A63"/>
    <w:rsid w:val="00017C28"/>
    <w:rsid w:val="0002048B"/>
    <w:rsid w:val="00021E92"/>
    <w:rsid w:val="00022A70"/>
    <w:rsid w:val="000230FB"/>
    <w:rsid w:val="0002496A"/>
    <w:rsid w:val="00024ACD"/>
    <w:rsid w:val="000262C5"/>
    <w:rsid w:val="0002762A"/>
    <w:rsid w:val="0002783B"/>
    <w:rsid w:val="00030CE7"/>
    <w:rsid w:val="00034FDE"/>
    <w:rsid w:val="000368B8"/>
    <w:rsid w:val="000379EA"/>
    <w:rsid w:val="0004007A"/>
    <w:rsid w:val="00040CAE"/>
    <w:rsid w:val="00042E1F"/>
    <w:rsid w:val="0004756B"/>
    <w:rsid w:val="000500BC"/>
    <w:rsid w:val="0005080C"/>
    <w:rsid w:val="00052188"/>
    <w:rsid w:val="00052341"/>
    <w:rsid w:val="00052970"/>
    <w:rsid w:val="00053010"/>
    <w:rsid w:val="00061148"/>
    <w:rsid w:val="00061C75"/>
    <w:rsid w:val="000632B7"/>
    <w:rsid w:val="000656FB"/>
    <w:rsid w:val="00066729"/>
    <w:rsid w:val="00066753"/>
    <w:rsid w:val="00070665"/>
    <w:rsid w:val="00072D88"/>
    <w:rsid w:val="00076744"/>
    <w:rsid w:val="00077177"/>
    <w:rsid w:val="00077C8D"/>
    <w:rsid w:val="000800AC"/>
    <w:rsid w:val="0008119A"/>
    <w:rsid w:val="00081917"/>
    <w:rsid w:val="0008554B"/>
    <w:rsid w:val="00087670"/>
    <w:rsid w:val="00090A2D"/>
    <w:rsid w:val="000918D1"/>
    <w:rsid w:val="000933A7"/>
    <w:rsid w:val="00094468"/>
    <w:rsid w:val="00094939"/>
    <w:rsid w:val="00095EE8"/>
    <w:rsid w:val="00096507"/>
    <w:rsid w:val="00097D4B"/>
    <w:rsid w:val="000A2AA3"/>
    <w:rsid w:val="000A3D59"/>
    <w:rsid w:val="000A40A2"/>
    <w:rsid w:val="000A4698"/>
    <w:rsid w:val="000A665C"/>
    <w:rsid w:val="000A779B"/>
    <w:rsid w:val="000A7BAB"/>
    <w:rsid w:val="000B2D1C"/>
    <w:rsid w:val="000B3415"/>
    <w:rsid w:val="000B5460"/>
    <w:rsid w:val="000C1346"/>
    <w:rsid w:val="000C1DAF"/>
    <w:rsid w:val="000C1DF9"/>
    <w:rsid w:val="000C2B60"/>
    <w:rsid w:val="000C2C52"/>
    <w:rsid w:val="000C6A04"/>
    <w:rsid w:val="000D1A4C"/>
    <w:rsid w:val="000D1B9E"/>
    <w:rsid w:val="000D4110"/>
    <w:rsid w:val="000D5326"/>
    <w:rsid w:val="000D609F"/>
    <w:rsid w:val="000D6BE6"/>
    <w:rsid w:val="000E0292"/>
    <w:rsid w:val="000E0B0B"/>
    <w:rsid w:val="000E49C3"/>
    <w:rsid w:val="000E6260"/>
    <w:rsid w:val="000E642B"/>
    <w:rsid w:val="000E6FDA"/>
    <w:rsid w:val="000E74B4"/>
    <w:rsid w:val="000F18AE"/>
    <w:rsid w:val="000F38B9"/>
    <w:rsid w:val="000F5EBA"/>
    <w:rsid w:val="000F7DE1"/>
    <w:rsid w:val="001018AE"/>
    <w:rsid w:val="00101DA2"/>
    <w:rsid w:val="001037CF"/>
    <w:rsid w:val="00105876"/>
    <w:rsid w:val="00107DFE"/>
    <w:rsid w:val="00111AD6"/>
    <w:rsid w:val="0011236F"/>
    <w:rsid w:val="001138A3"/>
    <w:rsid w:val="00114E51"/>
    <w:rsid w:val="0011682E"/>
    <w:rsid w:val="00117E69"/>
    <w:rsid w:val="00121E8F"/>
    <w:rsid w:val="00121EFA"/>
    <w:rsid w:val="001228D0"/>
    <w:rsid w:val="00122BED"/>
    <w:rsid w:val="00123885"/>
    <w:rsid w:val="001238B5"/>
    <w:rsid w:val="00124205"/>
    <w:rsid w:val="001256D3"/>
    <w:rsid w:val="00125FEE"/>
    <w:rsid w:val="00130D54"/>
    <w:rsid w:val="00134CD7"/>
    <w:rsid w:val="0013534A"/>
    <w:rsid w:val="00136332"/>
    <w:rsid w:val="001372EA"/>
    <w:rsid w:val="001405C6"/>
    <w:rsid w:val="00140EF2"/>
    <w:rsid w:val="00142113"/>
    <w:rsid w:val="001425F3"/>
    <w:rsid w:val="00144D71"/>
    <w:rsid w:val="00147631"/>
    <w:rsid w:val="00147D57"/>
    <w:rsid w:val="001513E4"/>
    <w:rsid w:val="001522CC"/>
    <w:rsid w:val="0015535F"/>
    <w:rsid w:val="00157286"/>
    <w:rsid w:val="00160CA6"/>
    <w:rsid w:val="00161FB3"/>
    <w:rsid w:val="0016379E"/>
    <w:rsid w:val="00164AE3"/>
    <w:rsid w:val="00166CD9"/>
    <w:rsid w:val="00170408"/>
    <w:rsid w:val="00171D33"/>
    <w:rsid w:val="001722C6"/>
    <w:rsid w:val="00173854"/>
    <w:rsid w:val="00173CC7"/>
    <w:rsid w:val="00175C12"/>
    <w:rsid w:val="00175EAC"/>
    <w:rsid w:val="00177C37"/>
    <w:rsid w:val="00181EA2"/>
    <w:rsid w:val="001833E0"/>
    <w:rsid w:val="00186E84"/>
    <w:rsid w:val="0018700E"/>
    <w:rsid w:val="0018741A"/>
    <w:rsid w:val="00187F36"/>
    <w:rsid w:val="00190CDB"/>
    <w:rsid w:val="00192B15"/>
    <w:rsid w:val="00193E31"/>
    <w:rsid w:val="0019458F"/>
    <w:rsid w:val="00195348"/>
    <w:rsid w:val="00195520"/>
    <w:rsid w:val="001962BF"/>
    <w:rsid w:val="00196998"/>
    <w:rsid w:val="00197E7E"/>
    <w:rsid w:val="001A126D"/>
    <w:rsid w:val="001A3BE5"/>
    <w:rsid w:val="001A48D6"/>
    <w:rsid w:val="001A5455"/>
    <w:rsid w:val="001A5812"/>
    <w:rsid w:val="001A5B55"/>
    <w:rsid w:val="001A63CC"/>
    <w:rsid w:val="001A6499"/>
    <w:rsid w:val="001A65B6"/>
    <w:rsid w:val="001A6B74"/>
    <w:rsid w:val="001A72FB"/>
    <w:rsid w:val="001A7379"/>
    <w:rsid w:val="001B22CF"/>
    <w:rsid w:val="001B2747"/>
    <w:rsid w:val="001B37CF"/>
    <w:rsid w:val="001B747A"/>
    <w:rsid w:val="001B75A6"/>
    <w:rsid w:val="001C0630"/>
    <w:rsid w:val="001C1EA4"/>
    <w:rsid w:val="001C21D0"/>
    <w:rsid w:val="001C508C"/>
    <w:rsid w:val="001C66E5"/>
    <w:rsid w:val="001D0FAC"/>
    <w:rsid w:val="001E29C1"/>
    <w:rsid w:val="001E2C25"/>
    <w:rsid w:val="001E3883"/>
    <w:rsid w:val="001E407F"/>
    <w:rsid w:val="001E7544"/>
    <w:rsid w:val="001F022C"/>
    <w:rsid w:val="001F028D"/>
    <w:rsid w:val="001F086B"/>
    <w:rsid w:val="001F2861"/>
    <w:rsid w:val="001F3910"/>
    <w:rsid w:val="001F657C"/>
    <w:rsid w:val="001F7B93"/>
    <w:rsid w:val="002019D2"/>
    <w:rsid w:val="002027AF"/>
    <w:rsid w:val="00203996"/>
    <w:rsid w:val="00203FA9"/>
    <w:rsid w:val="0020672F"/>
    <w:rsid w:val="00206FE6"/>
    <w:rsid w:val="00207247"/>
    <w:rsid w:val="002108F2"/>
    <w:rsid w:val="00210B81"/>
    <w:rsid w:val="00211477"/>
    <w:rsid w:val="00212B63"/>
    <w:rsid w:val="00213157"/>
    <w:rsid w:val="002146A9"/>
    <w:rsid w:val="0021542D"/>
    <w:rsid w:val="00215ED9"/>
    <w:rsid w:val="002170B0"/>
    <w:rsid w:val="00221D31"/>
    <w:rsid w:val="00221E30"/>
    <w:rsid w:val="00223640"/>
    <w:rsid w:val="002238B8"/>
    <w:rsid w:val="0022597C"/>
    <w:rsid w:val="00226072"/>
    <w:rsid w:val="002267EC"/>
    <w:rsid w:val="002268B2"/>
    <w:rsid w:val="002319FF"/>
    <w:rsid w:val="00231FD1"/>
    <w:rsid w:val="00232F8C"/>
    <w:rsid w:val="0023303F"/>
    <w:rsid w:val="00233C36"/>
    <w:rsid w:val="00234018"/>
    <w:rsid w:val="00234A2F"/>
    <w:rsid w:val="00235B3C"/>
    <w:rsid w:val="00241349"/>
    <w:rsid w:val="002437A8"/>
    <w:rsid w:val="00246263"/>
    <w:rsid w:val="0024637C"/>
    <w:rsid w:val="00247147"/>
    <w:rsid w:val="002505ED"/>
    <w:rsid w:val="00250C46"/>
    <w:rsid w:val="00251213"/>
    <w:rsid w:val="00254AE8"/>
    <w:rsid w:val="00257119"/>
    <w:rsid w:val="00257EF6"/>
    <w:rsid w:val="00260561"/>
    <w:rsid w:val="00261DDE"/>
    <w:rsid w:val="002620F9"/>
    <w:rsid w:val="00262517"/>
    <w:rsid w:val="0026485D"/>
    <w:rsid w:val="0026590B"/>
    <w:rsid w:val="00270A05"/>
    <w:rsid w:val="0027580A"/>
    <w:rsid w:val="00277597"/>
    <w:rsid w:val="00277F0D"/>
    <w:rsid w:val="002866E0"/>
    <w:rsid w:val="002914EB"/>
    <w:rsid w:val="002958C0"/>
    <w:rsid w:val="00295A99"/>
    <w:rsid w:val="002972FF"/>
    <w:rsid w:val="002977BA"/>
    <w:rsid w:val="00297970"/>
    <w:rsid w:val="002979CC"/>
    <w:rsid w:val="00297EC0"/>
    <w:rsid w:val="002A03C2"/>
    <w:rsid w:val="002A15A6"/>
    <w:rsid w:val="002A6489"/>
    <w:rsid w:val="002B016C"/>
    <w:rsid w:val="002B01D9"/>
    <w:rsid w:val="002B1430"/>
    <w:rsid w:val="002B1A34"/>
    <w:rsid w:val="002B26F9"/>
    <w:rsid w:val="002B5A65"/>
    <w:rsid w:val="002B6F2A"/>
    <w:rsid w:val="002C0853"/>
    <w:rsid w:val="002C3321"/>
    <w:rsid w:val="002C36F5"/>
    <w:rsid w:val="002C40B8"/>
    <w:rsid w:val="002C49B2"/>
    <w:rsid w:val="002C4CC0"/>
    <w:rsid w:val="002C7C4F"/>
    <w:rsid w:val="002C7C75"/>
    <w:rsid w:val="002D1C26"/>
    <w:rsid w:val="002D2EEE"/>
    <w:rsid w:val="002D4CB5"/>
    <w:rsid w:val="002E1FA4"/>
    <w:rsid w:val="002E20FE"/>
    <w:rsid w:val="002E2744"/>
    <w:rsid w:val="002E5360"/>
    <w:rsid w:val="002E701D"/>
    <w:rsid w:val="002F030B"/>
    <w:rsid w:val="002F059F"/>
    <w:rsid w:val="002F0F12"/>
    <w:rsid w:val="002F1CD4"/>
    <w:rsid w:val="002F539A"/>
    <w:rsid w:val="002F64F0"/>
    <w:rsid w:val="002F7744"/>
    <w:rsid w:val="0030019C"/>
    <w:rsid w:val="0030035D"/>
    <w:rsid w:val="003014E5"/>
    <w:rsid w:val="00306AD0"/>
    <w:rsid w:val="00307BBD"/>
    <w:rsid w:val="00310B41"/>
    <w:rsid w:val="00314624"/>
    <w:rsid w:val="00316559"/>
    <w:rsid w:val="0031786D"/>
    <w:rsid w:val="00325F96"/>
    <w:rsid w:val="0032652F"/>
    <w:rsid w:val="00326C8D"/>
    <w:rsid w:val="00336804"/>
    <w:rsid w:val="00337839"/>
    <w:rsid w:val="00340E80"/>
    <w:rsid w:val="00341742"/>
    <w:rsid w:val="00342047"/>
    <w:rsid w:val="003426C5"/>
    <w:rsid w:val="00344BA0"/>
    <w:rsid w:val="00344CD8"/>
    <w:rsid w:val="00345884"/>
    <w:rsid w:val="00345DC6"/>
    <w:rsid w:val="00350A37"/>
    <w:rsid w:val="003518D4"/>
    <w:rsid w:val="00352500"/>
    <w:rsid w:val="003530C7"/>
    <w:rsid w:val="003535E8"/>
    <w:rsid w:val="00354F25"/>
    <w:rsid w:val="003551CD"/>
    <w:rsid w:val="003563CE"/>
    <w:rsid w:val="0035693F"/>
    <w:rsid w:val="00360240"/>
    <w:rsid w:val="0036165F"/>
    <w:rsid w:val="00362611"/>
    <w:rsid w:val="003646D6"/>
    <w:rsid w:val="00364B3D"/>
    <w:rsid w:val="003656BD"/>
    <w:rsid w:val="00367E9A"/>
    <w:rsid w:val="00371008"/>
    <w:rsid w:val="00375BB8"/>
    <w:rsid w:val="00377DE1"/>
    <w:rsid w:val="00382045"/>
    <w:rsid w:val="003833FB"/>
    <w:rsid w:val="0038551D"/>
    <w:rsid w:val="00385C49"/>
    <w:rsid w:val="003900B1"/>
    <w:rsid w:val="00390A97"/>
    <w:rsid w:val="003914B8"/>
    <w:rsid w:val="0039424D"/>
    <w:rsid w:val="00395B53"/>
    <w:rsid w:val="00395DDE"/>
    <w:rsid w:val="00396434"/>
    <w:rsid w:val="00397039"/>
    <w:rsid w:val="003A049C"/>
    <w:rsid w:val="003A1F21"/>
    <w:rsid w:val="003A23C0"/>
    <w:rsid w:val="003A301F"/>
    <w:rsid w:val="003A33C9"/>
    <w:rsid w:val="003A4560"/>
    <w:rsid w:val="003A4864"/>
    <w:rsid w:val="003A5730"/>
    <w:rsid w:val="003A5C00"/>
    <w:rsid w:val="003A6FB5"/>
    <w:rsid w:val="003A7B56"/>
    <w:rsid w:val="003A7DEF"/>
    <w:rsid w:val="003C0452"/>
    <w:rsid w:val="003C1E4E"/>
    <w:rsid w:val="003C389F"/>
    <w:rsid w:val="003C623A"/>
    <w:rsid w:val="003C789D"/>
    <w:rsid w:val="003C78AC"/>
    <w:rsid w:val="003C7DD6"/>
    <w:rsid w:val="003D553F"/>
    <w:rsid w:val="003E0073"/>
    <w:rsid w:val="003E23B1"/>
    <w:rsid w:val="003E2E3F"/>
    <w:rsid w:val="003E3CF9"/>
    <w:rsid w:val="003E3EE2"/>
    <w:rsid w:val="003E544B"/>
    <w:rsid w:val="003E6C54"/>
    <w:rsid w:val="003F13F6"/>
    <w:rsid w:val="003F26BA"/>
    <w:rsid w:val="003F356C"/>
    <w:rsid w:val="003F4CB0"/>
    <w:rsid w:val="003F4D3F"/>
    <w:rsid w:val="003F5979"/>
    <w:rsid w:val="003F639B"/>
    <w:rsid w:val="003F6710"/>
    <w:rsid w:val="00400875"/>
    <w:rsid w:val="00400AA4"/>
    <w:rsid w:val="00400B2C"/>
    <w:rsid w:val="004012F4"/>
    <w:rsid w:val="0040142F"/>
    <w:rsid w:val="004015C5"/>
    <w:rsid w:val="00404D5E"/>
    <w:rsid w:val="00405F28"/>
    <w:rsid w:val="004065E0"/>
    <w:rsid w:val="004066BA"/>
    <w:rsid w:val="00406D15"/>
    <w:rsid w:val="00410426"/>
    <w:rsid w:val="00410737"/>
    <w:rsid w:val="00410D24"/>
    <w:rsid w:val="00412802"/>
    <w:rsid w:val="004131B7"/>
    <w:rsid w:val="0041409D"/>
    <w:rsid w:val="004145C0"/>
    <w:rsid w:val="00415BAA"/>
    <w:rsid w:val="00415BDB"/>
    <w:rsid w:val="004212B3"/>
    <w:rsid w:val="004239CA"/>
    <w:rsid w:val="004247AC"/>
    <w:rsid w:val="004260B2"/>
    <w:rsid w:val="00426C5F"/>
    <w:rsid w:val="00426EB5"/>
    <w:rsid w:val="00426F4B"/>
    <w:rsid w:val="00427766"/>
    <w:rsid w:val="00427C63"/>
    <w:rsid w:val="004341AD"/>
    <w:rsid w:val="004346D3"/>
    <w:rsid w:val="00434E88"/>
    <w:rsid w:val="004363E2"/>
    <w:rsid w:val="00440E17"/>
    <w:rsid w:val="00444931"/>
    <w:rsid w:val="0044525F"/>
    <w:rsid w:val="0045017E"/>
    <w:rsid w:val="00451F2F"/>
    <w:rsid w:val="00452635"/>
    <w:rsid w:val="004528B4"/>
    <w:rsid w:val="00453C59"/>
    <w:rsid w:val="0045491D"/>
    <w:rsid w:val="0045701B"/>
    <w:rsid w:val="004579F0"/>
    <w:rsid w:val="00457C1A"/>
    <w:rsid w:val="00461D10"/>
    <w:rsid w:val="00462FFC"/>
    <w:rsid w:val="004639AD"/>
    <w:rsid w:val="00463D17"/>
    <w:rsid w:val="004667BD"/>
    <w:rsid w:val="00467C1E"/>
    <w:rsid w:val="00467C93"/>
    <w:rsid w:val="0047095C"/>
    <w:rsid w:val="00470F57"/>
    <w:rsid w:val="004711EC"/>
    <w:rsid w:val="00475AF8"/>
    <w:rsid w:val="00475FBC"/>
    <w:rsid w:val="00476655"/>
    <w:rsid w:val="00480927"/>
    <w:rsid w:val="00483317"/>
    <w:rsid w:val="00484F03"/>
    <w:rsid w:val="00490730"/>
    <w:rsid w:val="00491906"/>
    <w:rsid w:val="004927BE"/>
    <w:rsid w:val="004930B0"/>
    <w:rsid w:val="00493266"/>
    <w:rsid w:val="004A1A8A"/>
    <w:rsid w:val="004A2DC5"/>
    <w:rsid w:val="004A7FB0"/>
    <w:rsid w:val="004B02F2"/>
    <w:rsid w:val="004B217F"/>
    <w:rsid w:val="004B2EBC"/>
    <w:rsid w:val="004C1A5B"/>
    <w:rsid w:val="004C2062"/>
    <w:rsid w:val="004D69B0"/>
    <w:rsid w:val="004D71AF"/>
    <w:rsid w:val="004E0BD9"/>
    <w:rsid w:val="004E1C26"/>
    <w:rsid w:val="004E304D"/>
    <w:rsid w:val="004E78ED"/>
    <w:rsid w:val="004F30CB"/>
    <w:rsid w:val="004F32B7"/>
    <w:rsid w:val="004F5758"/>
    <w:rsid w:val="004F6CA1"/>
    <w:rsid w:val="004F6F39"/>
    <w:rsid w:val="004F7B42"/>
    <w:rsid w:val="004F7DCB"/>
    <w:rsid w:val="005054C4"/>
    <w:rsid w:val="00505BDF"/>
    <w:rsid w:val="00510D40"/>
    <w:rsid w:val="0051148A"/>
    <w:rsid w:val="005132D5"/>
    <w:rsid w:val="00515E5B"/>
    <w:rsid w:val="005170CA"/>
    <w:rsid w:val="00520C0B"/>
    <w:rsid w:val="00520E44"/>
    <w:rsid w:val="00521B1D"/>
    <w:rsid w:val="0052665F"/>
    <w:rsid w:val="0053293E"/>
    <w:rsid w:val="00533A41"/>
    <w:rsid w:val="005345A8"/>
    <w:rsid w:val="00537804"/>
    <w:rsid w:val="00541305"/>
    <w:rsid w:val="00541799"/>
    <w:rsid w:val="00542851"/>
    <w:rsid w:val="0054295C"/>
    <w:rsid w:val="00547767"/>
    <w:rsid w:val="00552D73"/>
    <w:rsid w:val="00553C73"/>
    <w:rsid w:val="00553D15"/>
    <w:rsid w:val="00554243"/>
    <w:rsid w:val="00554EDB"/>
    <w:rsid w:val="00555D18"/>
    <w:rsid w:val="00562401"/>
    <w:rsid w:val="005625AE"/>
    <w:rsid w:val="0057013D"/>
    <w:rsid w:val="005703F3"/>
    <w:rsid w:val="00570407"/>
    <w:rsid w:val="00570445"/>
    <w:rsid w:val="00573EFB"/>
    <w:rsid w:val="00574B6E"/>
    <w:rsid w:val="00575F57"/>
    <w:rsid w:val="00581F29"/>
    <w:rsid w:val="0058278F"/>
    <w:rsid w:val="00582FBA"/>
    <w:rsid w:val="005841CD"/>
    <w:rsid w:val="00584BDF"/>
    <w:rsid w:val="00586E34"/>
    <w:rsid w:val="00587189"/>
    <w:rsid w:val="0059090C"/>
    <w:rsid w:val="00594162"/>
    <w:rsid w:val="00594E91"/>
    <w:rsid w:val="0059510D"/>
    <w:rsid w:val="00597627"/>
    <w:rsid w:val="005A00B2"/>
    <w:rsid w:val="005A1568"/>
    <w:rsid w:val="005A251B"/>
    <w:rsid w:val="005A3372"/>
    <w:rsid w:val="005A69EA"/>
    <w:rsid w:val="005B25E9"/>
    <w:rsid w:val="005B317E"/>
    <w:rsid w:val="005B661F"/>
    <w:rsid w:val="005B7297"/>
    <w:rsid w:val="005B7CB0"/>
    <w:rsid w:val="005C0273"/>
    <w:rsid w:val="005C102E"/>
    <w:rsid w:val="005C54FE"/>
    <w:rsid w:val="005C5A40"/>
    <w:rsid w:val="005D00F4"/>
    <w:rsid w:val="005D2BE2"/>
    <w:rsid w:val="005D3F66"/>
    <w:rsid w:val="005E2018"/>
    <w:rsid w:val="005E4829"/>
    <w:rsid w:val="005E6FF7"/>
    <w:rsid w:val="005F0C36"/>
    <w:rsid w:val="005F492F"/>
    <w:rsid w:val="005F644B"/>
    <w:rsid w:val="00600264"/>
    <w:rsid w:val="0060041B"/>
    <w:rsid w:val="0060249F"/>
    <w:rsid w:val="0060671F"/>
    <w:rsid w:val="00610052"/>
    <w:rsid w:val="00610816"/>
    <w:rsid w:val="00610FE0"/>
    <w:rsid w:val="00611B5D"/>
    <w:rsid w:val="0061525A"/>
    <w:rsid w:val="00616504"/>
    <w:rsid w:val="00620657"/>
    <w:rsid w:val="006207D4"/>
    <w:rsid w:val="00623E4B"/>
    <w:rsid w:val="00626650"/>
    <w:rsid w:val="006302CB"/>
    <w:rsid w:val="00632222"/>
    <w:rsid w:val="00632C2B"/>
    <w:rsid w:val="00633F8E"/>
    <w:rsid w:val="006345BD"/>
    <w:rsid w:val="00635CEC"/>
    <w:rsid w:val="00636D20"/>
    <w:rsid w:val="0063718B"/>
    <w:rsid w:val="006401DE"/>
    <w:rsid w:val="00641060"/>
    <w:rsid w:val="00642099"/>
    <w:rsid w:val="00642B0E"/>
    <w:rsid w:val="00642DDC"/>
    <w:rsid w:val="006432BF"/>
    <w:rsid w:val="00643AD2"/>
    <w:rsid w:val="00643EC7"/>
    <w:rsid w:val="0064756D"/>
    <w:rsid w:val="006506BC"/>
    <w:rsid w:val="006516F8"/>
    <w:rsid w:val="006539CE"/>
    <w:rsid w:val="00653D9E"/>
    <w:rsid w:val="00654BCB"/>
    <w:rsid w:val="00655CF2"/>
    <w:rsid w:val="006612EF"/>
    <w:rsid w:val="00662363"/>
    <w:rsid w:val="006639EE"/>
    <w:rsid w:val="00663E99"/>
    <w:rsid w:val="00667FA3"/>
    <w:rsid w:val="00670497"/>
    <w:rsid w:val="006725F2"/>
    <w:rsid w:val="006726A0"/>
    <w:rsid w:val="00672FE3"/>
    <w:rsid w:val="00673B37"/>
    <w:rsid w:val="00673C32"/>
    <w:rsid w:val="00673FD4"/>
    <w:rsid w:val="00674AB9"/>
    <w:rsid w:val="006751C5"/>
    <w:rsid w:val="006761FF"/>
    <w:rsid w:val="0067795F"/>
    <w:rsid w:val="006801B5"/>
    <w:rsid w:val="00683902"/>
    <w:rsid w:val="00686107"/>
    <w:rsid w:val="006862C5"/>
    <w:rsid w:val="00690DE1"/>
    <w:rsid w:val="00691BF5"/>
    <w:rsid w:val="00691C51"/>
    <w:rsid w:val="00693177"/>
    <w:rsid w:val="006A1942"/>
    <w:rsid w:val="006A2BE5"/>
    <w:rsid w:val="006A567B"/>
    <w:rsid w:val="006A5FFC"/>
    <w:rsid w:val="006A61DB"/>
    <w:rsid w:val="006A6B35"/>
    <w:rsid w:val="006B0718"/>
    <w:rsid w:val="006B079C"/>
    <w:rsid w:val="006B38D2"/>
    <w:rsid w:val="006B41F7"/>
    <w:rsid w:val="006B4B17"/>
    <w:rsid w:val="006B6504"/>
    <w:rsid w:val="006B7ED7"/>
    <w:rsid w:val="006C3A80"/>
    <w:rsid w:val="006C432F"/>
    <w:rsid w:val="006C4C96"/>
    <w:rsid w:val="006C4E53"/>
    <w:rsid w:val="006C65DE"/>
    <w:rsid w:val="006C6957"/>
    <w:rsid w:val="006C7309"/>
    <w:rsid w:val="006D32E4"/>
    <w:rsid w:val="006D3C18"/>
    <w:rsid w:val="006E0068"/>
    <w:rsid w:val="006E0969"/>
    <w:rsid w:val="006E1BA1"/>
    <w:rsid w:val="006E3A5F"/>
    <w:rsid w:val="006E4350"/>
    <w:rsid w:val="006E5076"/>
    <w:rsid w:val="006E6F01"/>
    <w:rsid w:val="006E7D91"/>
    <w:rsid w:val="006F0031"/>
    <w:rsid w:val="006F10AD"/>
    <w:rsid w:val="006F2B4E"/>
    <w:rsid w:val="006F360B"/>
    <w:rsid w:val="006F520E"/>
    <w:rsid w:val="006F7CA0"/>
    <w:rsid w:val="00702DC5"/>
    <w:rsid w:val="00704B35"/>
    <w:rsid w:val="00710840"/>
    <w:rsid w:val="00712054"/>
    <w:rsid w:val="00713262"/>
    <w:rsid w:val="007148E7"/>
    <w:rsid w:val="007229C2"/>
    <w:rsid w:val="00722DDC"/>
    <w:rsid w:val="00722F5A"/>
    <w:rsid w:val="007242C7"/>
    <w:rsid w:val="00724948"/>
    <w:rsid w:val="00725AE9"/>
    <w:rsid w:val="0072685A"/>
    <w:rsid w:val="00731916"/>
    <w:rsid w:val="00731AB4"/>
    <w:rsid w:val="00734E36"/>
    <w:rsid w:val="00740F96"/>
    <w:rsid w:val="0074118F"/>
    <w:rsid w:val="00744C63"/>
    <w:rsid w:val="0074510A"/>
    <w:rsid w:val="0074546C"/>
    <w:rsid w:val="0074569C"/>
    <w:rsid w:val="00745EC7"/>
    <w:rsid w:val="00747C31"/>
    <w:rsid w:val="00747CCC"/>
    <w:rsid w:val="00751B9D"/>
    <w:rsid w:val="00751D32"/>
    <w:rsid w:val="00755D04"/>
    <w:rsid w:val="00756D36"/>
    <w:rsid w:val="007619BB"/>
    <w:rsid w:val="00762B85"/>
    <w:rsid w:val="00762F81"/>
    <w:rsid w:val="00762F98"/>
    <w:rsid w:val="00764224"/>
    <w:rsid w:val="00767A9D"/>
    <w:rsid w:val="00773571"/>
    <w:rsid w:val="00775282"/>
    <w:rsid w:val="00775E23"/>
    <w:rsid w:val="00777866"/>
    <w:rsid w:val="00780C20"/>
    <w:rsid w:val="00781F84"/>
    <w:rsid w:val="007838E8"/>
    <w:rsid w:val="00786CD8"/>
    <w:rsid w:val="0078731B"/>
    <w:rsid w:val="007908FD"/>
    <w:rsid w:val="007952E8"/>
    <w:rsid w:val="007A073D"/>
    <w:rsid w:val="007A1842"/>
    <w:rsid w:val="007A6AC1"/>
    <w:rsid w:val="007A6C82"/>
    <w:rsid w:val="007A7636"/>
    <w:rsid w:val="007A7F50"/>
    <w:rsid w:val="007B09C3"/>
    <w:rsid w:val="007B1967"/>
    <w:rsid w:val="007B23DB"/>
    <w:rsid w:val="007B29E4"/>
    <w:rsid w:val="007B4772"/>
    <w:rsid w:val="007B5225"/>
    <w:rsid w:val="007C1876"/>
    <w:rsid w:val="007C356C"/>
    <w:rsid w:val="007C3FAC"/>
    <w:rsid w:val="007C640B"/>
    <w:rsid w:val="007D01DD"/>
    <w:rsid w:val="007D2637"/>
    <w:rsid w:val="007D26D3"/>
    <w:rsid w:val="007D2B6C"/>
    <w:rsid w:val="007D3173"/>
    <w:rsid w:val="007D3567"/>
    <w:rsid w:val="007D430F"/>
    <w:rsid w:val="007D66F2"/>
    <w:rsid w:val="007E25FA"/>
    <w:rsid w:val="007E4DBD"/>
    <w:rsid w:val="007E5414"/>
    <w:rsid w:val="007E66BD"/>
    <w:rsid w:val="007E7580"/>
    <w:rsid w:val="007E78BC"/>
    <w:rsid w:val="007F1595"/>
    <w:rsid w:val="007F189A"/>
    <w:rsid w:val="007F195F"/>
    <w:rsid w:val="007F3EC4"/>
    <w:rsid w:val="007F4E6F"/>
    <w:rsid w:val="007F4FD1"/>
    <w:rsid w:val="007F768E"/>
    <w:rsid w:val="007F7D8C"/>
    <w:rsid w:val="00800679"/>
    <w:rsid w:val="00801BF7"/>
    <w:rsid w:val="0080277D"/>
    <w:rsid w:val="00803981"/>
    <w:rsid w:val="008063DC"/>
    <w:rsid w:val="00806B14"/>
    <w:rsid w:val="0080761D"/>
    <w:rsid w:val="00810D15"/>
    <w:rsid w:val="0081144E"/>
    <w:rsid w:val="00814923"/>
    <w:rsid w:val="00816878"/>
    <w:rsid w:val="00816A07"/>
    <w:rsid w:val="00820B27"/>
    <w:rsid w:val="00820EAF"/>
    <w:rsid w:val="0082350B"/>
    <w:rsid w:val="008272CD"/>
    <w:rsid w:val="00833614"/>
    <w:rsid w:val="00833A6A"/>
    <w:rsid w:val="00834061"/>
    <w:rsid w:val="008432CC"/>
    <w:rsid w:val="00843382"/>
    <w:rsid w:val="00845C37"/>
    <w:rsid w:val="00847081"/>
    <w:rsid w:val="00847AF4"/>
    <w:rsid w:val="00852E83"/>
    <w:rsid w:val="008534F4"/>
    <w:rsid w:val="00855796"/>
    <w:rsid w:val="00862A5E"/>
    <w:rsid w:val="00864F39"/>
    <w:rsid w:val="00871D02"/>
    <w:rsid w:val="00874CF4"/>
    <w:rsid w:val="0087622A"/>
    <w:rsid w:val="00876623"/>
    <w:rsid w:val="00880D02"/>
    <w:rsid w:val="00881985"/>
    <w:rsid w:val="00881AB5"/>
    <w:rsid w:val="00881D05"/>
    <w:rsid w:val="0088240A"/>
    <w:rsid w:val="0088356C"/>
    <w:rsid w:val="00883E45"/>
    <w:rsid w:val="0088498B"/>
    <w:rsid w:val="00884F8D"/>
    <w:rsid w:val="00884FD6"/>
    <w:rsid w:val="008852ED"/>
    <w:rsid w:val="00886A49"/>
    <w:rsid w:val="00886BDF"/>
    <w:rsid w:val="008878BD"/>
    <w:rsid w:val="00887EA5"/>
    <w:rsid w:val="008906E2"/>
    <w:rsid w:val="0089250E"/>
    <w:rsid w:val="008940B5"/>
    <w:rsid w:val="008946BD"/>
    <w:rsid w:val="00894D97"/>
    <w:rsid w:val="00894DA8"/>
    <w:rsid w:val="00895656"/>
    <w:rsid w:val="008A1044"/>
    <w:rsid w:val="008A1883"/>
    <w:rsid w:val="008A3772"/>
    <w:rsid w:val="008A483F"/>
    <w:rsid w:val="008A654D"/>
    <w:rsid w:val="008A79C9"/>
    <w:rsid w:val="008B009C"/>
    <w:rsid w:val="008B2837"/>
    <w:rsid w:val="008B533C"/>
    <w:rsid w:val="008B6247"/>
    <w:rsid w:val="008C027D"/>
    <w:rsid w:val="008C0D8A"/>
    <w:rsid w:val="008C1B11"/>
    <w:rsid w:val="008C269A"/>
    <w:rsid w:val="008C2787"/>
    <w:rsid w:val="008C29BC"/>
    <w:rsid w:val="008C2B33"/>
    <w:rsid w:val="008C3696"/>
    <w:rsid w:val="008C50B0"/>
    <w:rsid w:val="008C5D58"/>
    <w:rsid w:val="008C6BAB"/>
    <w:rsid w:val="008D2367"/>
    <w:rsid w:val="008D4740"/>
    <w:rsid w:val="008D533C"/>
    <w:rsid w:val="008D5BFD"/>
    <w:rsid w:val="008D6C1E"/>
    <w:rsid w:val="008E3EB5"/>
    <w:rsid w:val="008E496E"/>
    <w:rsid w:val="008E4BD5"/>
    <w:rsid w:val="008E4CD6"/>
    <w:rsid w:val="008E5AA2"/>
    <w:rsid w:val="008E741A"/>
    <w:rsid w:val="008F185F"/>
    <w:rsid w:val="008F29C8"/>
    <w:rsid w:val="008F3FF6"/>
    <w:rsid w:val="008F409A"/>
    <w:rsid w:val="008F419A"/>
    <w:rsid w:val="008F54C0"/>
    <w:rsid w:val="0090291E"/>
    <w:rsid w:val="00902AB9"/>
    <w:rsid w:val="00904A56"/>
    <w:rsid w:val="00911E6D"/>
    <w:rsid w:val="00912CD8"/>
    <w:rsid w:val="009138ED"/>
    <w:rsid w:val="00913A11"/>
    <w:rsid w:val="0091431F"/>
    <w:rsid w:val="009159ED"/>
    <w:rsid w:val="00916879"/>
    <w:rsid w:val="00916E69"/>
    <w:rsid w:val="00917A6B"/>
    <w:rsid w:val="00917AEF"/>
    <w:rsid w:val="00917E3F"/>
    <w:rsid w:val="00920F6E"/>
    <w:rsid w:val="009216D3"/>
    <w:rsid w:val="00925637"/>
    <w:rsid w:val="00926C90"/>
    <w:rsid w:val="00933A65"/>
    <w:rsid w:val="00934177"/>
    <w:rsid w:val="009346C0"/>
    <w:rsid w:val="0093577A"/>
    <w:rsid w:val="00936083"/>
    <w:rsid w:val="0093608A"/>
    <w:rsid w:val="00937622"/>
    <w:rsid w:val="009401DE"/>
    <w:rsid w:val="00940B3B"/>
    <w:rsid w:val="009410CF"/>
    <w:rsid w:val="0094249D"/>
    <w:rsid w:val="0094373A"/>
    <w:rsid w:val="00944F8D"/>
    <w:rsid w:val="00945650"/>
    <w:rsid w:val="00950D80"/>
    <w:rsid w:val="00950F59"/>
    <w:rsid w:val="009520B1"/>
    <w:rsid w:val="00955CE8"/>
    <w:rsid w:val="009562BB"/>
    <w:rsid w:val="00960E24"/>
    <w:rsid w:val="00961624"/>
    <w:rsid w:val="0096250C"/>
    <w:rsid w:val="0096517C"/>
    <w:rsid w:val="009657B8"/>
    <w:rsid w:val="00965A9C"/>
    <w:rsid w:val="00966FC3"/>
    <w:rsid w:val="0096722F"/>
    <w:rsid w:val="00967BA4"/>
    <w:rsid w:val="00971491"/>
    <w:rsid w:val="00971DFD"/>
    <w:rsid w:val="00971E9A"/>
    <w:rsid w:val="00973042"/>
    <w:rsid w:val="00973C29"/>
    <w:rsid w:val="009746DE"/>
    <w:rsid w:val="00977C62"/>
    <w:rsid w:val="00983BA3"/>
    <w:rsid w:val="009849B4"/>
    <w:rsid w:val="00984AA1"/>
    <w:rsid w:val="00984CE9"/>
    <w:rsid w:val="009917BF"/>
    <w:rsid w:val="00994964"/>
    <w:rsid w:val="00994D78"/>
    <w:rsid w:val="00997C46"/>
    <w:rsid w:val="009A0694"/>
    <w:rsid w:val="009A07FF"/>
    <w:rsid w:val="009A263F"/>
    <w:rsid w:val="009A6CBE"/>
    <w:rsid w:val="009A6E8B"/>
    <w:rsid w:val="009A7AE8"/>
    <w:rsid w:val="009B0812"/>
    <w:rsid w:val="009B15F9"/>
    <w:rsid w:val="009B241B"/>
    <w:rsid w:val="009B4FAF"/>
    <w:rsid w:val="009B7F07"/>
    <w:rsid w:val="009C3190"/>
    <w:rsid w:val="009C3939"/>
    <w:rsid w:val="009C4227"/>
    <w:rsid w:val="009C736E"/>
    <w:rsid w:val="009C7754"/>
    <w:rsid w:val="009D534D"/>
    <w:rsid w:val="009D6DB6"/>
    <w:rsid w:val="009F069B"/>
    <w:rsid w:val="009F2077"/>
    <w:rsid w:val="009F2782"/>
    <w:rsid w:val="009F2C46"/>
    <w:rsid w:val="009F38FB"/>
    <w:rsid w:val="009F63B4"/>
    <w:rsid w:val="009F646D"/>
    <w:rsid w:val="009F7A87"/>
    <w:rsid w:val="009F7B07"/>
    <w:rsid w:val="00A026F2"/>
    <w:rsid w:val="00A04F99"/>
    <w:rsid w:val="00A06BD3"/>
    <w:rsid w:val="00A1090B"/>
    <w:rsid w:val="00A10DFB"/>
    <w:rsid w:val="00A1457D"/>
    <w:rsid w:val="00A1615C"/>
    <w:rsid w:val="00A1643B"/>
    <w:rsid w:val="00A17598"/>
    <w:rsid w:val="00A221AC"/>
    <w:rsid w:val="00A2265E"/>
    <w:rsid w:val="00A2292F"/>
    <w:rsid w:val="00A24E08"/>
    <w:rsid w:val="00A27CFA"/>
    <w:rsid w:val="00A30472"/>
    <w:rsid w:val="00A316B9"/>
    <w:rsid w:val="00A33E56"/>
    <w:rsid w:val="00A35689"/>
    <w:rsid w:val="00A365B9"/>
    <w:rsid w:val="00A365FC"/>
    <w:rsid w:val="00A377F7"/>
    <w:rsid w:val="00A417E3"/>
    <w:rsid w:val="00A4255D"/>
    <w:rsid w:val="00A425A1"/>
    <w:rsid w:val="00A435E8"/>
    <w:rsid w:val="00A50874"/>
    <w:rsid w:val="00A5247F"/>
    <w:rsid w:val="00A528B9"/>
    <w:rsid w:val="00A52A93"/>
    <w:rsid w:val="00A52DDA"/>
    <w:rsid w:val="00A539CE"/>
    <w:rsid w:val="00A53D41"/>
    <w:rsid w:val="00A54319"/>
    <w:rsid w:val="00A546C2"/>
    <w:rsid w:val="00A56886"/>
    <w:rsid w:val="00A56EF3"/>
    <w:rsid w:val="00A57DEA"/>
    <w:rsid w:val="00A615C4"/>
    <w:rsid w:val="00A61B33"/>
    <w:rsid w:val="00A63B21"/>
    <w:rsid w:val="00A65534"/>
    <w:rsid w:val="00A66632"/>
    <w:rsid w:val="00A70C64"/>
    <w:rsid w:val="00A7243B"/>
    <w:rsid w:val="00A72D4D"/>
    <w:rsid w:val="00A75CE1"/>
    <w:rsid w:val="00A76702"/>
    <w:rsid w:val="00A81CED"/>
    <w:rsid w:val="00A836A0"/>
    <w:rsid w:val="00A84662"/>
    <w:rsid w:val="00A84ACA"/>
    <w:rsid w:val="00A850E5"/>
    <w:rsid w:val="00A8675D"/>
    <w:rsid w:val="00A86781"/>
    <w:rsid w:val="00A87302"/>
    <w:rsid w:val="00A91AEE"/>
    <w:rsid w:val="00A93733"/>
    <w:rsid w:val="00A942BA"/>
    <w:rsid w:val="00A95B4C"/>
    <w:rsid w:val="00A969EA"/>
    <w:rsid w:val="00A96E41"/>
    <w:rsid w:val="00A97AD7"/>
    <w:rsid w:val="00AA1CD3"/>
    <w:rsid w:val="00AA2A0C"/>
    <w:rsid w:val="00AA385E"/>
    <w:rsid w:val="00AA43D2"/>
    <w:rsid w:val="00AA4982"/>
    <w:rsid w:val="00AA4AC4"/>
    <w:rsid w:val="00AA4E45"/>
    <w:rsid w:val="00AB0B1B"/>
    <w:rsid w:val="00AB4EF1"/>
    <w:rsid w:val="00AB5630"/>
    <w:rsid w:val="00AB6759"/>
    <w:rsid w:val="00AB6E0D"/>
    <w:rsid w:val="00AB703E"/>
    <w:rsid w:val="00AB7909"/>
    <w:rsid w:val="00AB7B1E"/>
    <w:rsid w:val="00AC1C88"/>
    <w:rsid w:val="00AC2A32"/>
    <w:rsid w:val="00AC3039"/>
    <w:rsid w:val="00AC5F32"/>
    <w:rsid w:val="00AC66C3"/>
    <w:rsid w:val="00AD12BD"/>
    <w:rsid w:val="00AD1992"/>
    <w:rsid w:val="00AD44BC"/>
    <w:rsid w:val="00AD4EDA"/>
    <w:rsid w:val="00AD6801"/>
    <w:rsid w:val="00AD6EC5"/>
    <w:rsid w:val="00AD7E9C"/>
    <w:rsid w:val="00AE0929"/>
    <w:rsid w:val="00AE33D2"/>
    <w:rsid w:val="00AE342E"/>
    <w:rsid w:val="00AE7902"/>
    <w:rsid w:val="00AF0956"/>
    <w:rsid w:val="00AF46E2"/>
    <w:rsid w:val="00B05650"/>
    <w:rsid w:val="00B06C9A"/>
    <w:rsid w:val="00B07197"/>
    <w:rsid w:val="00B07D45"/>
    <w:rsid w:val="00B10C02"/>
    <w:rsid w:val="00B10DC5"/>
    <w:rsid w:val="00B14137"/>
    <w:rsid w:val="00B1682C"/>
    <w:rsid w:val="00B20555"/>
    <w:rsid w:val="00B21F5D"/>
    <w:rsid w:val="00B2344F"/>
    <w:rsid w:val="00B23B93"/>
    <w:rsid w:val="00B24A01"/>
    <w:rsid w:val="00B24F82"/>
    <w:rsid w:val="00B25B89"/>
    <w:rsid w:val="00B3204F"/>
    <w:rsid w:val="00B335E6"/>
    <w:rsid w:val="00B36DC1"/>
    <w:rsid w:val="00B40724"/>
    <w:rsid w:val="00B40C64"/>
    <w:rsid w:val="00B43102"/>
    <w:rsid w:val="00B47A4D"/>
    <w:rsid w:val="00B47E95"/>
    <w:rsid w:val="00B525D9"/>
    <w:rsid w:val="00B53269"/>
    <w:rsid w:val="00B55C85"/>
    <w:rsid w:val="00B5675B"/>
    <w:rsid w:val="00B62E7A"/>
    <w:rsid w:val="00B6332B"/>
    <w:rsid w:val="00B6345F"/>
    <w:rsid w:val="00B63587"/>
    <w:rsid w:val="00B64060"/>
    <w:rsid w:val="00B655D1"/>
    <w:rsid w:val="00B65AA5"/>
    <w:rsid w:val="00B66C73"/>
    <w:rsid w:val="00B70432"/>
    <w:rsid w:val="00B81391"/>
    <w:rsid w:val="00B83A49"/>
    <w:rsid w:val="00B84590"/>
    <w:rsid w:val="00B8550A"/>
    <w:rsid w:val="00B87886"/>
    <w:rsid w:val="00B90D7D"/>
    <w:rsid w:val="00B912C3"/>
    <w:rsid w:val="00B91397"/>
    <w:rsid w:val="00B9319F"/>
    <w:rsid w:val="00B954B5"/>
    <w:rsid w:val="00B95718"/>
    <w:rsid w:val="00B95C52"/>
    <w:rsid w:val="00B95FE4"/>
    <w:rsid w:val="00BA0C6E"/>
    <w:rsid w:val="00BA17A3"/>
    <w:rsid w:val="00BA2B57"/>
    <w:rsid w:val="00BA5AE1"/>
    <w:rsid w:val="00BA6B68"/>
    <w:rsid w:val="00BB0303"/>
    <w:rsid w:val="00BB30A1"/>
    <w:rsid w:val="00BB32C0"/>
    <w:rsid w:val="00BB44C2"/>
    <w:rsid w:val="00BB5AA4"/>
    <w:rsid w:val="00BB7BA2"/>
    <w:rsid w:val="00BB7CAB"/>
    <w:rsid w:val="00BC0A5F"/>
    <w:rsid w:val="00BC1C90"/>
    <w:rsid w:val="00BC4965"/>
    <w:rsid w:val="00BC5D79"/>
    <w:rsid w:val="00BD0F84"/>
    <w:rsid w:val="00BD1AE9"/>
    <w:rsid w:val="00BD323E"/>
    <w:rsid w:val="00BD477A"/>
    <w:rsid w:val="00BD6581"/>
    <w:rsid w:val="00BD7311"/>
    <w:rsid w:val="00BD74D6"/>
    <w:rsid w:val="00BE19D7"/>
    <w:rsid w:val="00BE2018"/>
    <w:rsid w:val="00BE2CA4"/>
    <w:rsid w:val="00BE3156"/>
    <w:rsid w:val="00BE40BE"/>
    <w:rsid w:val="00BE5251"/>
    <w:rsid w:val="00BE6257"/>
    <w:rsid w:val="00BE6CC7"/>
    <w:rsid w:val="00BE6ECE"/>
    <w:rsid w:val="00BE7387"/>
    <w:rsid w:val="00BE7635"/>
    <w:rsid w:val="00BE7C44"/>
    <w:rsid w:val="00BF1219"/>
    <w:rsid w:val="00BF2178"/>
    <w:rsid w:val="00BF7F85"/>
    <w:rsid w:val="00C01209"/>
    <w:rsid w:val="00C0328C"/>
    <w:rsid w:val="00C04C92"/>
    <w:rsid w:val="00C07538"/>
    <w:rsid w:val="00C07E24"/>
    <w:rsid w:val="00C10755"/>
    <w:rsid w:val="00C11007"/>
    <w:rsid w:val="00C11935"/>
    <w:rsid w:val="00C11CEA"/>
    <w:rsid w:val="00C12352"/>
    <w:rsid w:val="00C137C5"/>
    <w:rsid w:val="00C160AC"/>
    <w:rsid w:val="00C17592"/>
    <w:rsid w:val="00C2034E"/>
    <w:rsid w:val="00C20663"/>
    <w:rsid w:val="00C21A31"/>
    <w:rsid w:val="00C22D17"/>
    <w:rsid w:val="00C24209"/>
    <w:rsid w:val="00C25B08"/>
    <w:rsid w:val="00C278F6"/>
    <w:rsid w:val="00C304BD"/>
    <w:rsid w:val="00C36DF6"/>
    <w:rsid w:val="00C36F3B"/>
    <w:rsid w:val="00C36F75"/>
    <w:rsid w:val="00C3733D"/>
    <w:rsid w:val="00C419D3"/>
    <w:rsid w:val="00C42BF5"/>
    <w:rsid w:val="00C43C05"/>
    <w:rsid w:val="00C447F6"/>
    <w:rsid w:val="00C45C8F"/>
    <w:rsid w:val="00C47EC9"/>
    <w:rsid w:val="00C503A3"/>
    <w:rsid w:val="00C52130"/>
    <w:rsid w:val="00C521D1"/>
    <w:rsid w:val="00C529D9"/>
    <w:rsid w:val="00C52A53"/>
    <w:rsid w:val="00C549AD"/>
    <w:rsid w:val="00C55804"/>
    <w:rsid w:val="00C6025E"/>
    <w:rsid w:val="00C605A3"/>
    <w:rsid w:val="00C60627"/>
    <w:rsid w:val="00C60901"/>
    <w:rsid w:val="00C621DC"/>
    <w:rsid w:val="00C64E9F"/>
    <w:rsid w:val="00C65A80"/>
    <w:rsid w:val="00C66D4A"/>
    <w:rsid w:val="00C70089"/>
    <w:rsid w:val="00C707AF"/>
    <w:rsid w:val="00C75CDD"/>
    <w:rsid w:val="00C7634B"/>
    <w:rsid w:val="00C77359"/>
    <w:rsid w:val="00C800EC"/>
    <w:rsid w:val="00C822E2"/>
    <w:rsid w:val="00C82868"/>
    <w:rsid w:val="00C833A5"/>
    <w:rsid w:val="00C85219"/>
    <w:rsid w:val="00C913D8"/>
    <w:rsid w:val="00C9200F"/>
    <w:rsid w:val="00C921DD"/>
    <w:rsid w:val="00C94758"/>
    <w:rsid w:val="00C965FC"/>
    <w:rsid w:val="00CA2B4D"/>
    <w:rsid w:val="00CA3ABA"/>
    <w:rsid w:val="00CA4B12"/>
    <w:rsid w:val="00CA4F94"/>
    <w:rsid w:val="00CA688D"/>
    <w:rsid w:val="00CA68C5"/>
    <w:rsid w:val="00CA6C1D"/>
    <w:rsid w:val="00CB12A2"/>
    <w:rsid w:val="00CB36DE"/>
    <w:rsid w:val="00CB3FA0"/>
    <w:rsid w:val="00CC09D0"/>
    <w:rsid w:val="00CC1019"/>
    <w:rsid w:val="00CC19A5"/>
    <w:rsid w:val="00CC2C27"/>
    <w:rsid w:val="00CC329B"/>
    <w:rsid w:val="00CC3B69"/>
    <w:rsid w:val="00CC4896"/>
    <w:rsid w:val="00CC582B"/>
    <w:rsid w:val="00CC6739"/>
    <w:rsid w:val="00CD095C"/>
    <w:rsid w:val="00CD3444"/>
    <w:rsid w:val="00CD608C"/>
    <w:rsid w:val="00CD6503"/>
    <w:rsid w:val="00CE098B"/>
    <w:rsid w:val="00CE0E62"/>
    <w:rsid w:val="00CE187E"/>
    <w:rsid w:val="00CE3D79"/>
    <w:rsid w:val="00CE445F"/>
    <w:rsid w:val="00CF023E"/>
    <w:rsid w:val="00CF0E22"/>
    <w:rsid w:val="00D00311"/>
    <w:rsid w:val="00D02842"/>
    <w:rsid w:val="00D033B5"/>
    <w:rsid w:val="00D03AEF"/>
    <w:rsid w:val="00D05816"/>
    <w:rsid w:val="00D137C0"/>
    <w:rsid w:val="00D144C8"/>
    <w:rsid w:val="00D14D57"/>
    <w:rsid w:val="00D165E0"/>
    <w:rsid w:val="00D243A4"/>
    <w:rsid w:val="00D253A4"/>
    <w:rsid w:val="00D257E3"/>
    <w:rsid w:val="00D25EC9"/>
    <w:rsid w:val="00D265A4"/>
    <w:rsid w:val="00D30443"/>
    <w:rsid w:val="00D3502C"/>
    <w:rsid w:val="00D370AC"/>
    <w:rsid w:val="00D4153E"/>
    <w:rsid w:val="00D435D3"/>
    <w:rsid w:val="00D43614"/>
    <w:rsid w:val="00D43617"/>
    <w:rsid w:val="00D44A9D"/>
    <w:rsid w:val="00D44B8E"/>
    <w:rsid w:val="00D4581B"/>
    <w:rsid w:val="00D46386"/>
    <w:rsid w:val="00D51EDE"/>
    <w:rsid w:val="00D53EDF"/>
    <w:rsid w:val="00D54C6F"/>
    <w:rsid w:val="00D5549F"/>
    <w:rsid w:val="00D6468B"/>
    <w:rsid w:val="00D65014"/>
    <w:rsid w:val="00D6641B"/>
    <w:rsid w:val="00D66A2D"/>
    <w:rsid w:val="00D672C0"/>
    <w:rsid w:val="00D718B1"/>
    <w:rsid w:val="00D722E2"/>
    <w:rsid w:val="00D74516"/>
    <w:rsid w:val="00D76B5C"/>
    <w:rsid w:val="00D76DB9"/>
    <w:rsid w:val="00D77502"/>
    <w:rsid w:val="00D81618"/>
    <w:rsid w:val="00D8255A"/>
    <w:rsid w:val="00D85EF4"/>
    <w:rsid w:val="00D874CC"/>
    <w:rsid w:val="00D919D9"/>
    <w:rsid w:val="00D91C65"/>
    <w:rsid w:val="00D91D3C"/>
    <w:rsid w:val="00D92213"/>
    <w:rsid w:val="00D956F3"/>
    <w:rsid w:val="00D95F66"/>
    <w:rsid w:val="00D96960"/>
    <w:rsid w:val="00D96C3E"/>
    <w:rsid w:val="00DA0092"/>
    <w:rsid w:val="00DA0FFD"/>
    <w:rsid w:val="00DA1BEE"/>
    <w:rsid w:val="00DA21B8"/>
    <w:rsid w:val="00DA67AF"/>
    <w:rsid w:val="00DA6DFF"/>
    <w:rsid w:val="00DB0FEE"/>
    <w:rsid w:val="00DB1F78"/>
    <w:rsid w:val="00DB2257"/>
    <w:rsid w:val="00DB5DD6"/>
    <w:rsid w:val="00DB66AD"/>
    <w:rsid w:val="00DC0572"/>
    <w:rsid w:val="00DC0FA5"/>
    <w:rsid w:val="00DC391F"/>
    <w:rsid w:val="00DC3E8C"/>
    <w:rsid w:val="00DC560A"/>
    <w:rsid w:val="00DC5A2B"/>
    <w:rsid w:val="00DC7C7A"/>
    <w:rsid w:val="00DD370D"/>
    <w:rsid w:val="00DD4314"/>
    <w:rsid w:val="00DD6F62"/>
    <w:rsid w:val="00DE273B"/>
    <w:rsid w:val="00DE2BEF"/>
    <w:rsid w:val="00DE6095"/>
    <w:rsid w:val="00DE75C9"/>
    <w:rsid w:val="00DF09E9"/>
    <w:rsid w:val="00DF0AB8"/>
    <w:rsid w:val="00DF231A"/>
    <w:rsid w:val="00DF2E5A"/>
    <w:rsid w:val="00DF3974"/>
    <w:rsid w:val="00DF694E"/>
    <w:rsid w:val="00DF7E3F"/>
    <w:rsid w:val="00DF7E53"/>
    <w:rsid w:val="00E008BF"/>
    <w:rsid w:val="00E009E6"/>
    <w:rsid w:val="00E029D8"/>
    <w:rsid w:val="00E02A90"/>
    <w:rsid w:val="00E060A7"/>
    <w:rsid w:val="00E068F5"/>
    <w:rsid w:val="00E10753"/>
    <w:rsid w:val="00E11444"/>
    <w:rsid w:val="00E15267"/>
    <w:rsid w:val="00E17112"/>
    <w:rsid w:val="00E2012F"/>
    <w:rsid w:val="00E21699"/>
    <w:rsid w:val="00E22204"/>
    <w:rsid w:val="00E24725"/>
    <w:rsid w:val="00E25677"/>
    <w:rsid w:val="00E274A8"/>
    <w:rsid w:val="00E27DA2"/>
    <w:rsid w:val="00E27E27"/>
    <w:rsid w:val="00E300A0"/>
    <w:rsid w:val="00E30ED4"/>
    <w:rsid w:val="00E338A3"/>
    <w:rsid w:val="00E33AC3"/>
    <w:rsid w:val="00E34D59"/>
    <w:rsid w:val="00E3538F"/>
    <w:rsid w:val="00E3578D"/>
    <w:rsid w:val="00E35AA1"/>
    <w:rsid w:val="00E36263"/>
    <w:rsid w:val="00E37306"/>
    <w:rsid w:val="00E400F6"/>
    <w:rsid w:val="00E40A57"/>
    <w:rsid w:val="00E41AA9"/>
    <w:rsid w:val="00E443C8"/>
    <w:rsid w:val="00E45715"/>
    <w:rsid w:val="00E46A71"/>
    <w:rsid w:val="00E46B65"/>
    <w:rsid w:val="00E51015"/>
    <w:rsid w:val="00E51876"/>
    <w:rsid w:val="00E5263E"/>
    <w:rsid w:val="00E52C3D"/>
    <w:rsid w:val="00E53D2C"/>
    <w:rsid w:val="00E53EDB"/>
    <w:rsid w:val="00E5697C"/>
    <w:rsid w:val="00E570CD"/>
    <w:rsid w:val="00E6131D"/>
    <w:rsid w:val="00E61B45"/>
    <w:rsid w:val="00E65F4F"/>
    <w:rsid w:val="00E708F1"/>
    <w:rsid w:val="00E71C05"/>
    <w:rsid w:val="00E734FF"/>
    <w:rsid w:val="00E802AD"/>
    <w:rsid w:val="00E8234C"/>
    <w:rsid w:val="00E838CA"/>
    <w:rsid w:val="00E85A49"/>
    <w:rsid w:val="00E92122"/>
    <w:rsid w:val="00E94191"/>
    <w:rsid w:val="00EA209C"/>
    <w:rsid w:val="00EA2140"/>
    <w:rsid w:val="00EA756C"/>
    <w:rsid w:val="00EB0B6A"/>
    <w:rsid w:val="00EB1978"/>
    <w:rsid w:val="00EB37BA"/>
    <w:rsid w:val="00EB4497"/>
    <w:rsid w:val="00EB4592"/>
    <w:rsid w:val="00EB48B3"/>
    <w:rsid w:val="00EB6BB3"/>
    <w:rsid w:val="00EC1549"/>
    <w:rsid w:val="00EC5723"/>
    <w:rsid w:val="00EC63BA"/>
    <w:rsid w:val="00ED0605"/>
    <w:rsid w:val="00ED09B3"/>
    <w:rsid w:val="00ED1B4D"/>
    <w:rsid w:val="00ED2E9F"/>
    <w:rsid w:val="00ED4814"/>
    <w:rsid w:val="00ED6EAB"/>
    <w:rsid w:val="00ED7253"/>
    <w:rsid w:val="00EE097E"/>
    <w:rsid w:val="00EE2023"/>
    <w:rsid w:val="00EE4016"/>
    <w:rsid w:val="00EE501D"/>
    <w:rsid w:val="00EE61BA"/>
    <w:rsid w:val="00EF1E72"/>
    <w:rsid w:val="00EF31CE"/>
    <w:rsid w:val="00EF554C"/>
    <w:rsid w:val="00EF5BAF"/>
    <w:rsid w:val="00EF6431"/>
    <w:rsid w:val="00EF7595"/>
    <w:rsid w:val="00F004F2"/>
    <w:rsid w:val="00F01DC4"/>
    <w:rsid w:val="00F03208"/>
    <w:rsid w:val="00F03598"/>
    <w:rsid w:val="00F04057"/>
    <w:rsid w:val="00F040CF"/>
    <w:rsid w:val="00F0674B"/>
    <w:rsid w:val="00F158BD"/>
    <w:rsid w:val="00F17C46"/>
    <w:rsid w:val="00F20CD1"/>
    <w:rsid w:val="00F2180B"/>
    <w:rsid w:val="00F22E2D"/>
    <w:rsid w:val="00F22F1C"/>
    <w:rsid w:val="00F2591D"/>
    <w:rsid w:val="00F26261"/>
    <w:rsid w:val="00F303E6"/>
    <w:rsid w:val="00F30753"/>
    <w:rsid w:val="00F318C1"/>
    <w:rsid w:val="00F35BCC"/>
    <w:rsid w:val="00F36E82"/>
    <w:rsid w:val="00F40DD1"/>
    <w:rsid w:val="00F45C40"/>
    <w:rsid w:val="00F466F3"/>
    <w:rsid w:val="00F46892"/>
    <w:rsid w:val="00F51C2D"/>
    <w:rsid w:val="00F54E35"/>
    <w:rsid w:val="00F557A3"/>
    <w:rsid w:val="00F57650"/>
    <w:rsid w:val="00F61A8C"/>
    <w:rsid w:val="00F62BBF"/>
    <w:rsid w:val="00F64B52"/>
    <w:rsid w:val="00F67581"/>
    <w:rsid w:val="00F6791E"/>
    <w:rsid w:val="00F730F4"/>
    <w:rsid w:val="00F73247"/>
    <w:rsid w:val="00F75424"/>
    <w:rsid w:val="00F75937"/>
    <w:rsid w:val="00F76237"/>
    <w:rsid w:val="00F76D86"/>
    <w:rsid w:val="00F77C3A"/>
    <w:rsid w:val="00F77EF5"/>
    <w:rsid w:val="00F811F6"/>
    <w:rsid w:val="00F81735"/>
    <w:rsid w:val="00F82E7B"/>
    <w:rsid w:val="00F86A25"/>
    <w:rsid w:val="00F87837"/>
    <w:rsid w:val="00F87F1C"/>
    <w:rsid w:val="00F9301F"/>
    <w:rsid w:val="00F9601D"/>
    <w:rsid w:val="00F971E4"/>
    <w:rsid w:val="00FA2F4E"/>
    <w:rsid w:val="00FA40ED"/>
    <w:rsid w:val="00FA4F10"/>
    <w:rsid w:val="00FA7857"/>
    <w:rsid w:val="00FA7E84"/>
    <w:rsid w:val="00FB0D9E"/>
    <w:rsid w:val="00FB2218"/>
    <w:rsid w:val="00FB2B5C"/>
    <w:rsid w:val="00FB2D1C"/>
    <w:rsid w:val="00FB2DDE"/>
    <w:rsid w:val="00FB3583"/>
    <w:rsid w:val="00FB459C"/>
    <w:rsid w:val="00FB5878"/>
    <w:rsid w:val="00FB6156"/>
    <w:rsid w:val="00FB62AE"/>
    <w:rsid w:val="00FB6971"/>
    <w:rsid w:val="00FC0FA7"/>
    <w:rsid w:val="00FC68D7"/>
    <w:rsid w:val="00FD2B59"/>
    <w:rsid w:val="00FD7803"/>
    <w:rsid w:val="00FE129B"/>
    <w:rsid w:val="00FE14FD"/>
    <w:rsid w:val="00FE26D5"/>
    <w:rsid w:val="00FE3018"/>
    <w:rsid w:val="00FE395B"/>
    <w:rsid w:val="00FE3AE6"/>
    <w:rsid w:val="00FE3AF2"/>
    <w:rsid w:val="00FE5954"/>
    <w:rsid w:val="00FE78AD"/>
    <w:rsid w:val="00FE7B92"/>
    <w:rsid w:val="00FE7DC6"/>
    <w:rsid w:val="00FF09E6"/>
    <w:rsid w:val="00FF0F17"/>
    <w:rsid w:val="00FF147A"/>
    <w:rsid w:val="00FF1894"/>
    <w:rsid w:val="00FF2C13"/>
    <w:rsid w:val="00FF43DD"/>
    <w:rsid w:val="00FF5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F2861"/>
    <w:pPr>
      <w:keepNext/>
      <w:keepLines/>
      <w:numPr>
        <w:numId w:val="2"/>
      </w:numPr>
      <w:spacing w:before="480" w:after="120" w:line="360" w:lineRule="auto"/>
      <w:outlineLvl w:val="0"/>
    </w:pPr>
    <w:rPr>
      <w:rFonts w:ascii="Times New Roman" w:eastAsiaTheme="majorEastAsia" w:hAnsi="Times New Roman" w:cs="Times New Roman"/>
      <w:b/>
      <w:bCs/>
      <w:sz w:val="32"/>
      <w:szCs w:val="32"/>
      <w:lang w:val="en-US"/>
    </w:rPr>
  </w:style>
  <w:style w:type="paragraph" w:styleId="2">
    <w:name w:val="heading 2"/>
    <w:basedOn w:val="a"/>
    <w:link w:val="20"/>
    <w:uiPriority w:val="9"/>
    <w:qFormat/>
    <w:rsid w:val="000E6260"/>
    <w:pPr>
      <w:spacing w:before="100" w:beforeAutospacing="1" w:after="100" w:afterAutospacing="1" w:line="240" w:lineRule="auto"/>
      <w:outlineLvl w:val="1"/>
    </w:pPr>
    <w:rPr>
      <w:rFonts w:ascii="Times New Roman" w:hAnsi="Times New Roman" w:cs="Times New Roman"/>
      <w:b/>
      <w:bCs/>
      <w:sz w:val="36"/>
      <w:szCs w:val="36"/>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0B0B"/>
    <w:pPr>
      <w:spacing w:after="240" w:line="360" w:lineRule="auto"/>
      <w:jc w:val="both"/>
    </w:pPr>
    <w:rPr>
      <w:rFonts w:ascii="Times New Roman" w:hAnsi="Times New Roman" w:cs="Times New Roman"/>
      <w:sz w:val="24"/>
      <w:szCs w:val="24"/>
      <w:lang w:val="en-US"/>
    </w:rPr>
  </w:style>
  <w:style w:type="character" w:customStyle="1" w:styleId="10">
    <w:name w:val="Заголовок 1 Знак"/>
    <w:basedOn w:val="a0"/>
    <w:link w:val="1"/>
    <w:uiPriority w:val="9"/>
    <w:rsid w:val="001F2861"/>
    <w:rPr>
      <w:rFonts w:ascii="Times New Roman" w:eastAsiaTheme="majorEastAsia" w:hAnsi="Times New Roman" w:cs="Times New Roman"/>
      <w:b/>
      <w:bCs/>
      <w:sz w:val="32"/>
      <w:szCs w:val="32"/>
      <w:lang w:val="en-US"/>
    </w:rPr>
  </w:style>
  <w:style w:type="paragraph" w:styleId="11">
    <w:name w:val="toc 1"/>
    <w:basedOn w:val="a"/>
    <w:next w:val="a"/>
    <w:autoRedefine/>
    <w:uiPriority w:val="39"/>
    <w:unhideWhenUsed/>
    <w:rsid w:val="004F7B42"/>
    <w:pPr>
      <w:spacing w:after="100"/>
    </w:pPr>
  </w:style>
  <w:style w:type="character" w:styleId="a5">
    <w:name w:val="Hyperlink"/>
    <w:basedOn w:val="a0"/>
    <w:uiPriority w:val="99"/>
    <w:unhideWhenUsed/>
    <w:rsid w:val="004F7B42"/>
    <w:rPr>
      <w:color w:val="0000FF" w:themeColor="hyperlink"/>
      <w:u w:val="single"/>
    </w:rPr>
  </w:style>
  <w:style w:type="paragraph" w:styleId="a6">
    <w:name w:val="No Spacing"/>
    <w:uiPriority w:val="1"/>
    <w:qFormat/>
    <w:rsid w:val="00E52C3D"/>
    <w:pPr>
      <w:spacing w:after="0" w:line="240" w:lineRule="auto"/>
    </w:pPr>
  </w:style>
  <w:style w:type="paragraph" w:styleId="a7">
    <w:name w:val="header"/>
    <w:basedOn w:val="a"/>
    <w:link w:val="a8"/>
    <w:uiPriority w:val="99"/>
    <w:unhideWhenUsed/>
    <w:rsid w:val="001123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236F"/>
  </w:style>
  <w:style w:type="paragraph" w:styleId="a9">
    <w:name w:val="footer"/>
    <w:basedOn w:val="a"/>
    <w:link w:val="aa"/>
    <w:uiPriority w:val="99"/>
    <w:unhideWhenUsed/>
    <w:rsid w:val="001123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236F"/>
  </w:style>
  <w:style w:type="table" w:styleId="ab">
    <w:name w:val="Table Grid"/>
    <w:basedOn w:val="a1"/>
    <w:uiPriority w:val="59"/>
    <w:rsid w:val="00637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304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04BD"/>
    <w:rPr>
      <w:rFonts w:ascii="Tahoma" w:hAnsi="Tahoma" w:cs="Tahoma"/>
      <w:sz w:val="16"/>
      <w:szCs w:val="16"/>
    </w:rPr>
  </w:style>
  <w:style w:type="character" w:styleId="ae">
    <w:name w:val="Emphasis"/>
    <w:basedOn w:val="a0"/>
    <w:uiPriority w:val="20"/>
    <w:qFormat/>
    <w:rsid w:val="00D91C65"/>
    <w:rPr>
      <w:i/>
      <w:iCs/>
    </w:rPr>
  </w:style>
  <w:style w:type="paragraph" w:styleId="af">
    <w:name w:val="footnote text"/>
    <w:basedOn w:val="a"/>
    <w:link w:val="af0"/>
    <w:uiPriority w:val="99"/>
    <w:unhideWhenUsed/>
    <w:rsid w:val="00177C37"/>
    <w:pPr>
      <w:spacing w:after="0" w:line="240" w:lineRule="auto"/>
    </w:pPr>
    <w:rPr>
      <w:sz w:val="20"/>
      <w:szCs w:val="20"/>
    </w:rPr>
  </w:style>
  <w:style w:type="character" w:customStyle="1" w:styleId="af0">
    <w:name w:val="Текст сноски Знак"/>
    <w:basedOn w:val="a0"/>
    <w:link w:val="af"/>
    <w:uiPriority w:val="99"/>
    <w:rsid w:val="00177C37"/>
    <w:rPr>
      <w:sz w:val="20"/>
      <w:szCs w:val="20"/>
    </w:rPr>
  </w:style>
  <w:style w:type="character" w:styleId="af1">
    <w:name w:val="footnote reference"/>
    <w:basedOn w:val="a0"/>
    <w:uiPriority w:val="99"/>
    <w:semiHidden/>
    <w:unhideWhenUsed/>
    <w:rsid w:val="00177C37"/>
    <w:rPr>
      <w:vertAlign w:val="superscript"/>
    </w:rPr>
  </w:style>
  <w:style w:type="character" w:customStyle="1" w:styleId="a4">
    <w:name w:val="Абзац списка Знак"/>
    <w:link w:val="a3"/>
    <w:uiPriority w:val="34"/>
    <w:rsid w:val="008D4740"/>
    <w:rPr>
      <w:rFonts w:ascii="Times New Roman" w:hAnsi="Times New Roman" w:cs="Times New Roman"/>
      <w:sz w:val="24"/>
      <w:szCs w:val="24"/>
      <w:lang w:val="en-US"/>
    </w:rPr>
  </w:style>
  <w:style w:type="character" w:customStyle="1" w:styleId="rphighlightallclass">
    <w:name w:val="rphighlightallclass"/>
    <w:basedOn w:val="a0"/>
    <w:rsid w:val="00066753"/>
  </w:style>
  <w:style w:type="character" w:customStyle="1" w:styleId="rp61">
    <w:name w:val="_rp_61"/>
    <w:basedOn w:val="a0"/>
    <w:rsid w:val="00066753"/>
  </w:style>
  <w:style w:type="character" w:customStyle="1" w:styleId="fc4">
    <w:name w:val="_fc_4"/>
    <w:basedOn w:val="a0"/>
    <w:rsid w:val="00066753"/>
  </w:style>
  <w:style w:type="character" w:customStyle="1" w:styleId="peb">
    <w:name w:val="_pe_b"/>
    <w:basedOn w:val="a0"/>
    <w:rsid w:val="00066753"/>
  </w:style>
  <w:style w:type="character" w:customStyle="1" w:styleId="bidi">
    <w:name w:val="bidi"/>
    <w:basedOn w:val="a0"/>
    <w:rsid w:val="00066753"/>
  </w:style>
  <w:style w:type="character" w:customStyle="1" w:styleId="rpd1">
    <w:name w:val="_rp_d1"/>
    <w:basedOn w:val="a0"/>
    <w:rsid w:val="00066753"/>
  </w:style>
  <w:style w:type="paragraph" w:styleId="af2">
    <w:name w:val="Normal (Web)"/>
    <w:basedOn w:val="a"/>
    <w:uiPriority w:val="99"/>
    <w:unhideWhenUsed/>
    <w:rsid w:val="000667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BF7F85"/>
    <w:rPr>
      <w:sz w:val="16"/>
      <w:szCs w:val="16"/>
    </w:rPr>
  </w:style>
  <w:style w:type="paragraph" w:styleId="af4">
    <w:name w:val="annotation text"/>
    <w:basedOn w:val="a"/>
    <w:link w:val="af5"/>
    <w:uiPriority w:val="99"/>
    <w:unhideWhenUsed/>
    <w:rsid w:val="00E3538F"/>
    <w:pPr>
      <w:spacing w:line="240" w:lineRule="auto"/>
    </w:pPr>
    <w:rPr>
      <w:sz w:val="20"/>
      <w:szCs w:val="20"/>
    </w:rPr>
  </w:style>
  <w:style w:type="character" w:customStyle="1" w:styleId="af5">
    <w:name w:val="Текст примечания Знак"/>
    <w:basedOn w:val="a0"/>
    <w:link w:val="af4"/>
    <w:uiPriority w:val="99"/>
    <w:rsid w:val="00BF7F85"/>
    <w:rPr>
      <w:sz w:val="20"/>
      <w:szCs w:val="20"/>
    </w:rPr>
  </w:style>
  <w:style w:type="paragraph" w:styleId="af6">
    <w:name w:val="annotation subject"/>
    <w:basedOn w:val="af4"/>
    <w:next w:val="af4"/>
    <w:link w:val="af7"/>
    <w:uiPriority w:val="99"/>
    <w:semiHidden/>
    <w:unhideWhenUsed/>
    <w:rsid w:val="00BF7F85"/>
    <w:rPr>
      <w:b/>
      <w:bCs/>
    </w:rPr>
  </w:style>
  <w:style w:type="character" w:customStyle="1" w:styleId="af7">
    <w:name w:val="Тема примечания Знак"/>
    <w:basedOn w:val="af5"/>
    <w:link w:val="af6"/>
    <w:uiPriority w:val="99"/>
    <w:semiHidden/>
    <w:rsid w:val="00BF7F85"/>
    <w:rPr>
      <w:b/>
      <w:bCs/>
      <w:sz w:val="20"/>
      <w:szCs w:val="20"/>
    </w:rPr>
  </w:style>
  <w:style w:type="paragraph" w:styleId="af8">
    <w:name w:val="Revision"/>
    <w:hidden/>
    <w:uiPriority w:val="99"/>
    <w:semiHidden/>
    <w:rsid w:val="00672FE3"/>
    <w:pPr>
      <w:spacing w:after="0" w:line="240" w:lineRule="auto"/>
    </w:pPr>
  </w:style>
  <w:style w:type="paragraph" w:styleId="HTML">
    <w:name w:val="HTML Preformatted"/>
    <w:basedOn w:val="a"/>
    <w:link w:val="HTML0"/>
    <w:uiPriority w:val="99"/>
    <w:semiHidden/>
    <w:unhideWhenUsed/>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tr-TR" w:eastAsia="tr-TR"/>
    </w:rPr>
  </w:style>
  <w:style w:type="character" w:customStyle="1" w:styleId="HTML0">
    <w:name w:val="Стандартный HTML Знак"/>
    <w:basedOn w:val="a0"/>
    <w:link w:val="HTML"/>
    <w:uiPriority w:val="99"/>
    <w:semiHidden/>
    <w:rsid w:val="00E3538F"/>
    <w:rPr>
      <w:rFonts w:ascii="Courier New" w:eastAsia="Times New Roman" w:hAnsi="Courier New" w:cs="Courier New"/>
      <w:sz w:val="20"/>
      <w:szCs w:val="20"/>
      <w:lang w:val="tr-TR" w:eastAsia="tr-TR"/>
    </w:rPr>
  </w:style>
  <w:style w:type="character" w:customStyle="1" w:styleId="20">
    <w:name w:val="Заголовок 2 Знак"/>
    <w:basedOn w:val="a0"/>
    <w:link w:val="2"/>
    <w:uiPriority w:val="9"/>
    <w:rsid w:val="000E6260"/>
    <w:rPr>
      <w:rFonts w:ascii="Times New Roman" w:hAnsi="Times New Roman" w:cs="Times New Roman"/>
      <w:b/>
      <w:bCs/>
      <w:sz w:val="36"/>
      <w:szCs w:val="36"/>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F2861"/>
    <w:pPr>
      <w:keepNext/>
      <w:keepLines/>
      <w:numPr>
        <w:numId w:val="2"/>
      </w:numPr>
      <w:spacing w:before="480" w:after="120" w:line="360" w:lineRule="auto"/>
      <w:outlineLvl w:val="0"/>
    </w:pPr>
    <w:rPr>
      <w:rFonts w:ascii="Times New Roman" w:eastAsiaTheme="majorEastAsia" w:hAnsi="Times New Roman" w:cs="Times New Roman"/>
      <w:b/>
      <w:bCs/>
      <w:sz w:val="32"/>
      <w:szCs w:val="32"/>
      <w:lang w:val="en-US"/>
    </w:rPr>
  </w:style>
  <w:style w:type="paragraph" w:styleId="2">
    <w:name w:val="heading 2"/>
    <w:basedOn w:val="a"/>
    <w:link w:val="20"/>
    <w:uiPriority w:val="9"/>
    <w:qFormat/>
    <w:rsid w:val="000E6260"/>
    <w:pPr>
      <w:spacing w:before="100" w:beforeAutospacing="1" w:after="100" w:afterAutospacing="1" w:line="240" w:lineRule="auto"/>
      <w:outlineLvl w:val="1"/>
    </w:pPr>
    <w:rPr>
      <w:rFonts w:ascii="Times New Roman" w:hAnsi="Times New Roman" w:cs="Times New Roman"/>
      <w:b/>
      <w:bCs/>
      <w:sz w:val="36"/>
      <w:szCs w:val="36"/>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0B0B"/>
    <w:pPr>
      <w:spacing w:after="240" w:line="360" w:lineRule="auto"/>
      <w:jc w:val="both"/>
    </w:pPr>
    <w:rPr>
      <w:rFonts w:ascii="Times New Roman" w:hAnsi="Times New Roman" w:cs="Times New Roman"/>
      <w:sz w:val="24"/>
      <w:szCs w:val="24"/>
      <w:lang w:val="en-US"/>
    </w:rPr>
  </w:style>
  <w:style w:type="character" w:customStyle="1" w:styleId="10">
    <w:name w:val="Заголовок 1 Знак"/>
    <w:basedOn w:val="a0"/>
    <w:link w:val="1"/>
    <w:uiPriority w:val="9"/>
    <w:rsid w:val="001F2861"/>
    <w:rPr>
      <w:rFonts w:ascii="Times New Roman" w:eastAsiaTheme="majorEastAsia" w:hAnsi="Times New Roman" w:cs="Times New Roman"/>
      <w:b/>
      <w:bCs/>
      <w:sz w:val="32"/>
      <w:szCs w:val="32"/>
      <w:lang w:val="en-US"/>
    </w:rPr>
  </w:style>
  <w:style w:type="paragraph" w:styleId="11">
    <w:name w:val="toc 1"/>
    <w:basedOn w:val="a"/>
    <w:next w:val="a"/>
    <w:autoRedefine/>
    <w:uiPriority w:val="39"/>
    <w:unhideWhenUsed/>
    <w:rsid w:val="004F7B42"/>
    <w:pPr>
      <w:spacing w:after="100"/>
    </w:pPr>
  </w:style>
  <w:style w:type="character" w:styleId="a5">
    <w:name w:val="Hyperlink"/>
    <w:basedOn w:val="a0"/>
    <w:uiPriority w:val="99"/>
    <w:unhideWhenUsed/>
    <w:rsid w:val="004F7B42"/>
    <w:rPr>
      <w:color w:val="0000FF" w:themeColor="hyperlink"/>
      <w:u w:val="single"/>
    </w:rPr>
  </w:style>
  <w:style w:type="paragraph" w:styleId="a6">
    <w:name w:val="No Spacing"/>
    <w:uiPriority w:val="1"/>
    <w:qFormat/>
    <w:rsid w:val="00E52C3D"/>
    <w:pPr>
      <w:spacing w:after="0" w:line="240" w:lineRule="auto"/>
    </w:pPr>
  </w:style>
  <w:style w:type="paragraph" w:styleId="a7">
    <w:name w:val="header"/>
    <w:basedOn w:val="a"/>
    <w:link w:val="a8"/>
    <w:uiPriority w:val="99"/>
    <w:unhideWhenUsed/>
    <w:rsid w:val="001123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236F"/>
  </w:style>
  <w:style w:type="paragraph" w:styleId="a9">
    <w:name w:val="footer"/>
    <w:basedOn w:val="a"/>
    <w:link w:val="aa"/>
    <w:uiPriority w:val="99"/>
    <w:unhideWhenUsed/>
    <w:rsid w:val="001123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236F"/>
  </w:style>
  <w:style w:type="table" w:styleId="ab">
    <w:name w:val="Table Grid"/>
    <w:basedOn w:val="a1"/>
    <w:uiPriority w:val="59"/>
    <w:rsid w:val="00637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304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04BD"/>
    <w:rPr>
      <w:rFonts w:ascii="Tahoma" w:hAnsi="Tahoma" w:cs="Tahoma"/>
      <w:sz w:val="16"/>
      <w:szCs w:val="16"/>
    </w:rPr>
  </w:style>
  <w:style w:type="character" w:styleId="ae">
    <w:name w:val="Emphasis"/>
    <w:basedOn w:val="a0"/>
    <w:uiPriority w:val="20"/>
    <w:qFormat/>
    <w:rsid w:val="00D91C65"/>
    <w:rPr>
      <w:i/>
      <w:iCs/>
    </w:rPr>
  </w:style>
  <w:style w:type="paragraph" w:styleId="af">
    <w:name w:val="footnote text"/>
    <w:basedOn w:val="a"/>
    <w:link w:val="af0"/>
    <w:uiPriority w:val="99"/>
    <w:unhideWhenUsed/>
    <w:rsid w:val="00177C37"/>
    <w:pPr>
      <w:spacing w:after="0" w:line="240" w:lineRule="auto"/>
    </w:pPr>
    <w:rPr>
      <w:sz w:val="20"/>
      <w:szCs w:val="20"/>
    </w:rPr>
  </w:style>
  <w:style w:type="character" w:customStyle="1" w:styleId="af0">
    <w:name w:val="Текст сноски Знак"/>
    <w:basedOn w:val="a0"/>
    <w:link w:val="af"/>
    <w:uiPriority w:val="99"/>
    <w:rsid w:val="00177C37"/>
    <w:rPr>
      <w:sz w:val="20"/>
      <w:szCs w:val="20"/>
    </w:rPr>
  </w:style>
  <w:style w:type="character" w:styleId="af1">
    <w:name w:val="footnote reference"/>
    <w:basedOn w:val="a0"/>
    <w:uiPriority w:val="99"/>
    <w:semiHidden/>
    <w:unhideWhenUsed/>
    <w:rsid w:val="00177C37"/>
    <w:rPr>
      <w:vertAlign w:val="superscript"/>
    </w:rPr>
  </w:style>
  <w:style w:type="character" w:customStyle="1" w:styleId="a4">
    <w:name w:val="Абзац списка Знак"/>
    <w:link w:val="a3"/>
    <w:uiPriority w:val="34"/>
    <w:rsid w:val="008D4740"/>
    <w:rPr>
      <w:rFonts w:ascii="Times New Roman" w:hAnsi="Times New Roman" w:cs="Times New Roman"/>
      <w:sz w:val="24"/>
      <w:szCs w:val="24"/>
      <w:lang w:val="en-US"/>
    </w:rPr>
  </w:style>
  <w:style w:type="character" w:customStyle="1" w:styleId="rphighlightallclass">
    <w:name w:val="rphighlightallclass"/>
    <w:basedOn w:val="a0"/>
    <w:rsid w:val="00066753"/>
  </w:style>
  <w:style w:type="character" w:customStyle="1" w:styleId="rp61">
    <w:name w:val="_rp_61"/>
    <w:basedOn w:val="a0"/>
    <w:rsid w:val="00066753"/>
  </w:style>
  <w:style w:type="character" w:customStyle="1" w:styleId="fc4">
    <w:name w:val="_fc_4"/>
    <w:basedOn w:val="a0"/>
    <w:rsid w:val="00066753"/>
  </w:style>
  <w:style w:type="character" w:customStyle="1" w:styleId="peb">
    <w:name w:val="_pe_b"/>
    <w:basedOn w:val="a0"/>
    <w:rsid w:val="00066753"/>
  </w:style>
  <w:style w:type="character" w:customStyle="1" w:styleId="bidi">
    <w:name w:val="bidi"/>
    <w:basedOn w:val="a0"/>
    <w:rsid w:val="00066753"/>
  </w:style>
  <w:style w:type="character" w:customStyle="1" w:styleId="rpd1">
    <w:name w:val="_rp_d1"/>
    <w:basedOn w:val="a0"/>
    <w:rsid w:val="00066753"/>
  </w:style>
  <w:style w:type="paragraph" w:styleId="af2">
    <w:name w:val="Normal (Web)"/>
    <w:basedOn w:val="a"/>
    <w:uiPriority w:val="99"/>
    <w:unhideWhenUsed/>
    <w:rsid w:val="000667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BF7F85"/>
    <w:rPr>
      <w:sz w:val="16"/>
      <w:szCs w:val="16"/>
    </w:rPr>
  </w:style>
  <w:style w:type="paragraph" w:styleId="af4">
    <w:name w:val="annotation text"/>
    <w:basedOn w:val="a"/>
    <w:link w:val="af5"/>
    <w:uiPriority w:val="99"/>
    <w:unhideWhenUsed/>
    <w:rsid w:val="00E3538F"/>
    <w:pPr>
      <w:spacing w:line="240" w:lineRule="auto"/>
    </w:pPr>
    <w:rPr>
      <w:sz w:val="20"/>
      <w:szCs w:val="20"/>
    </w:rPr>
  </w:style>
  <w:style w:type="character" w:customStyle="1" w:styleId="af5">
    <w:name w:val="Текст примечания Знак"/>
    <w:basedOn w:val="a0"/>
    <w:link w:val="af4"/>
    <w:uiPriority w:val="99"/>
    <w:rsid w:val="00BF7F85"/>
    <w:rPr>
      <w:sz w:val="20"/>
      <w:szCs w:val="20"/>
    </w:rPr>
  </w:style>
  <w:style w:type="paragraph" w:styleId="af6">
    <w:name w:val="annotation subject"/>
    <w:basedOn w:val="af4"/>
    <w:next w:val="af4"/>
    <w:link w:val="af7"/>
    <w:uiPriority w:val="99"/>
    <w:semiHidden/>
    <w:unhideWhenUsed/>
    <w:rsid w:val="00BF7F85"/>
    <w:rPr>
      <w:b/>
      <w:bCs/>
    </w:rPr>
  </w:style>
  <w:style w:type="character" w:customStyle="1" w:styleId="af7">
    <w:name w:val="Тема примечания Знак"/>
    <w:basedOn w:val="af5"/>
    <w:link w:val="af6"/>
    <w:uiPriority w:val="99"/>
    <w:semiHidden/>
    <w:rsid w:val="00BF7F85"/>
    <w:rPr>
      <w:b/>
      <w:bCs/>
      <w:sz w:val="20"/>
      <w:szCs w:val="20"/>
    </w:rPr>
  </w:style>
  <w:style w:type="paragraph" w:styleId="af8">
    <w:name w:val="Revision"/>
    <w:hidden/>
    <w:uiPriority w:val="99"/>
    <w:semiHidden/>
    <w:rsid w:val="00672FE3"/>
    <w:pPr>
      <w:spacing w:after="0" w:line="240" w:lineRule="auto"/>
    </w:pPr>
  </w:style>
  <w:style w:type="paragraph" w:styleId="HTML">
    <w:name w:val="HTML Preformatted"/>
    <w:basedOn w:val="a"/>
    <w:link w:val="HTML0"/>
    <w:uiPriority w:val="99"/>
    <w:semiHidden/>
    <w:unhideWhenUsed/>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tr-TR" w:eastAsia="tr-TR"/>
    </w:rPr>
  </w:style>
  <w:style w:type="character" w:customStyle="1" w:styleId="HTML0">
    <w:name w:val="Стандартный HTML Знак"/>
    <w:basedOn w:val="a0"/>
    <w:link w:val="HTML"/>
    <w:uiPriority w:val="99"/>
    <w:semiHidden/>
    <w:rsid w:val="00E3538F"/>
    <w:rPr>
      <w:rFonts w:ascii="Courier New" w:eastAsia="Times New Roman" w:hAnsi="Courier New" w:cs="Courier New"/>
      <w:sz w:val="20"/>
      <w:szCs w:val="20"/>
      <w:lang w:val="tr-TR" w:eastAsia="tr-TR"/>
    </w:rPr>
  </w:style>
  <w:style w:type="character" w:customStyle="1" w:styleId="20">
    <w:name w:val="Заголовок 2 Знак"/>
    <w:basedOn w:val="a0"/>
    <w:link w:val="2"/>
    <w:uiPriority w:val="9"/>
    <w:rsid w:val="000E6260"/>
    <w:rPr>
      <w:rFonts w:ascii="Times New Roman" w:hAnsi="Times New Roman" w:cs="Times New Roman"/>
      <w:b/>
      <w:bCs/>
      <w:sz w:val="36"/>
      <w:szCs w:val="3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2126">
      <w:bodyDiv w:val="1"/>
      <w:marLeft w:val="0"/>
      <w:marRight w:val="0"/>
      <w:marTop w:val="0"/>
      <w:marBottom w:val="0"/>
      <w:divBdr>
        <w:top w:val="none" w:sz="0" w:space="0" w:color="auto"/>
        <w:left w:val="none" w:sz="0" w:space="0" w:color="auto"/>
        <w:bottom w:val="none" w:sz="0" w:space="0" w:color="auto"/>
        <w:right w:val="none" w:sz="0" w:space="0" w:color="auto"/>
      </w:divBdr>
    </w:div>
    <w:div w:id="108664521">
      <w:bodyDiv w:val="1"/>
      <w:marLeft w:val="0"/>
      <w:marRight w:val="0"/>
      <w:marTop w:val="0"/>
      <w:marBottom w:val="0"/>
      <w:divBdr>
        <w:top w:val="none" w:sz="0" w:space="0" w:color="auto"/>
        <w:left w:val="none" w:sz="0" w:space="0" w:color="auto"/>
        <w:bottom w:val="none" w:sz="0" w:space="0" w:color="auto"/>
        <w:right w:val="none" w:sz="0" w:space="0" w:color="auto"/>
      </w:divBdr>
    </w:div>
    <w:div w:id="234709468">
      <w:bodyDiv w:val="1"/>
      <w:marLeft w:val="0"/>
      <w:marRight w:val="0"/>
      <w:marTop w:val="0"/>
      <w:marBottom w:val="0"/>
      <w:divBdr>
        <w:top w:val="none" w:sz="0" w:space="0" w:color="auto"/>
        <w:left w:val="none" w:sz="0" w:space="0" w:color="auto"/>
        <w:bottom w:val="none" w:sz="0" w:space="0" w:color="auto"/>
        <w:right w:val="none" w:sz="0" w:space="0" w:color="auto"/>
      </w:divBdr>
    </w:div>
    <w:div w:id="342165482">
      <w:bodyDiv w:val="1"/>
      <w:marLeft w:val="0"/>
      <w:marRight w:val="0"/>
      <w:marTop w:val="0"/>
      <w:marBottom w:val="0"/>
      <w:divBdr>
        <w:top w:val="none" w:sz="0" w:space="0" w:color="auto"/>
        <w:left w:val="none" w:sz="0" w:space="0" w:color="auto"/>
        <w:bottom w:val="none" w:sz="0" w:space="0" w:color="auto"/>
        <w:right w:val="none" w:sz="0" w:space="0" w:color="auto"/>
      </w:divBdr>
    </w:div>
    <w:div w:id="363334351">
      <w:bodyDiv w:val="1"/>
      <w:marLeft w:val="0"/>
      <w:marRight w:val="0"/>
      <w:marTop w:val="0"/>
      <w:marBottom w:val="0"/>
      <w:divBdr>
        <w:top w:val="none" w:sz="0" w:space="0" w:color="auto"/>
        <w:left w:val="none" w:sz="0" w:space="0" w:color="auto"/>
        <w:bottom w:val="none" w:sz="0" w:space="0" w:color="auto"/>
        <w:right w:val="none" w:sz="0" w:space="0" w:color="auto"/>
      </w:divBdr>
    </w:div>
    <w:div w:id="416365334">
      <w:bodyDiv w:val="1"/>
      <w:marLeft w:val="0"/>
      <w:marRight w:val="0"/>
      <w:marTop w:val="0"/>
      <w:marBottom w:val="0"/>
      <w:divBdr>
        <w:top w:val="none" w:sz="0" w:space="0" w:color="auto"/>
        <w:left w:val="none" w:sz="0" w:space="0" w:color="auto"/>
        <w:bottom w:val="none" w:sz="0" w:space="0" w:color="auto"/>
        <w:right w:val="none" w:sz="0" w:space="0" w:color="auto"/>
      </w:divBdr>
    </w:div>
    <w:div w:id="423458481">
      <w:bodyDiv w:val="1"/>
      <w:marLeft w:val="0"/>
      <w:marRight w:val="0"/>
      <w:marTop w:val="0"/>
      <w:marBottom w:val="0"/>
      <w:divBdr>
        <w:top w:val="none" w:sz="0" w:space="0" w:color="auto"/>
        <w:left w:val="none" w:sz="0" w:space="0" w:color="auto"/>
        <w:bottom w:val="none" w:sz="0" w:space="0" w:color="auto"/>
        <w:right w:val="none" w:sz="0" w:space="0" w:color="auto"/>
      </w:divBdr>
      <w:divsChild>
        <w:div w:id="444541561">
          <w:marLeft w:val="547"/>
          <w:marRight w:val="0"/>
          <w:marTop w:val="0"/>
          <w:marBottom w:val="0"/>
          <w:divBdr>
            <w:top w:val="none" w:sz="0" w:space="0" w:color="auto"/>
            <w:left w:val="none" w:sz="0" w:space="0" w:color="auto"/>
            <w:bottom w:val="none" w:sz="0" w:space="0" w:color="auto"/>
            <w:right w:val="none" w:sz="0" w:space="0" w:color="auto"/>
          </w:divBdr>
        </w:div>
        <w:div w:id="1785690431">
          <w:marLeft w:val="547"/>
          <w:marRight w:val="0"/>
          <w:marTop w:val="0"/>
          <w:marBottom w:val="0"/>
          <w:divBdr>
            <w:top w:val="none" w:sz="0" w:space="0" w:color="auto"/>
            <w:left w:val="none" w:sz="0" w:space="0" w:color="auto"/>
            <w:bottom w:val="none" w:sz="0" w:space="0" w:color="auto"/>
            <w:right w:val="none" w:sz="0" w:space="0" w:color="auto"/>
          </w:divBdr>
        </w:div>
      </w:divsChild>
    </w:div>
    <w:div w:id="499471867">
      <w:bodyDiv w:val="1"/>
      <w:marLeft w:val="0"/>
      <w:marRight w:val="0"/>
      <w:marTop w:val="0"/>
      <w:marBottom w:val="0"/>
      <w:divBdr>
        <w:top w:val="none" w:sz="0" w:space="0" w:color="auto"/>
        <w:left w:val="none" w:sz="0" w:space="0" w:color="auto"/>
        <w:bottom w:val="none" w:sz="0" w:space="0" w:color="auto"/>
        <w:right w:val="none" w:sz="0" w:space="0" w:color="auto"/>
      </w:divBdr>
    </w:div>
    <w:div w:id="636493981">
      <w:bodyDiv w:val="1"/>
      <w:marLeft w:val="0"/>
      <w:marRight w:val="0"/>
      <w:marTop w:val="0"/>
      <w:marBottom w:val="0"/>
      <w:divBdr>
        <w:top w:val="none" w:sz="0" w:space="0" w:color="auto"/>
        <w:left w:val="none" w:sz="0" w:space="0" w:color="auto"/>
        <w:bottom w:val="none" w:sz="0" w:space="0" w:color="auto"/>
        <w:right w:val="none" w:sz="0" w:space="0" w:color="auto"/>
      </w:divBdr>
    </w:div>
    <w:div w:id="636761131">
      <w:bodyDiv w:val="1"/>
      <w:marLeft w:val="0"/>
      <w:marRight w:val="0"/>
      <w:marTop w:val="0"/>
      <w:marBottom w:val="0"/>
      <w:divBdr>
        <w:top w:val="none" w:sz="0" w:space="0" w:color="auto"/>
        <w:left w:val="none" w:sz="0" w:space="0" w:color="auto"/>
        <w:bottom w:val="none" w:sz="0" w:space="0" w:color="auto"/>
        <w:right w:val="none" w:sz="0" w:space="0" w:color="auto"/>
      </w:divBdr>
      <w:divsChild>
        <w:div w:id="547569698">
          <w:marLeft w:val="0"/>
          <w:marRight w:val="0"/>
          <w:marTop w:val="0"/>
          <w:marBottom w:val="0"/>
          <w:divBdr>
            <w:top w:val="none" w:sz="0" w:space="0" w:color="auto"/>
            <w:left w:val="none" w:sz="0" w:space="0" w:color="auto"/>
            <w:bottom w:val="none" w:sz="0" w:space="0" w:color="auto"/>
            <w:right w:val="none" w:sz="0" w:space="0" w:color="auto"/>
          </w:divBdr>
          <w:divsChild>
            <w:div w:id="1027413044">
              <w:marLeft w:val="0"/>
              <w:marRight w:val="450"/>
              <w:marTop w:val="0"/>
              <w:marBottom w:val="135"/>
              <w:divBdr>
                <w:top w:val="none" w:sz="0" w:space="0" w:color="auto"/>
                <w:left w:val="none" w:sz="0" w:space="0" w:color="auto"/>
                <w:bottom w:val="none" w:sz="0" w:space="0" w:color="auto"/>
                <w:right w:val="none" w:sz="0" w:space="0" w:color="auto"/>
              </w:divBdr>
            </w:div>
          </w:divsChild>
        </w:div>
        <w:div w:id="987201336">
          <w:marLeft w:val="0"/>
          <w:marRight w:val="0"/>
          <w:marTop w:val="0"/>
          <w:marBottom w:val="0"/>
          <w:divBdr>
            <w:top w:val="none" w:sz="0" w:space="0" w:color="auto"/>
            <w:left w:val="none" w:sz="0" w:space="0" w:color="auto"/>
            <w:bottom w:val="none" w:sz="0" w:space="0" w:color="auto"/>
            <w:right w:val="none" w:sz="0" w:space="0" w:color="auto"/>
          </w:divBdr>
          <w:divsChild>
            <w:div w:id="969172030">
              <w:marLeft w:val="0"/>
              <w:marRight w:val="0"/>
              <w:marTop w:val="0"/>
              <w:marBottom w:val="0"/>
              <w:divBdr>
                <w:top w:val="none" w:sz="0" w:space="0" w:color="auto"/>
                <w:left w:val="none" w:sz="0" w:space="0" w:color="auto"/>
                <w:bottom w:val="none" w:sz="0" w:space="0" w:color="auto"/>
                <w:right w:val="none" w:sz="0" w:space="0" w:color="auto"/>
              </w:divBdr>
              <w:divsChild>
                <w:div w:id="335499011">
                  <w:marLeft w:val="0"/>
                  <w:marRight w:val="0"/>
                  <w:marTop w:val="0"/>
                  <w:marBottom w:val="0"/>
                  <w:divBdr>
                    <w:top w:val="none" w:sz="0" w:space="0" w:color="auto"/>
                    <w:left w:val="none" w:sz="0" w:space="0" w:color="auto"/>
                    <w:bottom w:val="none" w:sz="0" w:space="0" w:color="auto"/>
                    <w:right w:val="none" w:sz="0" w:space="0" w:color="auto"/>
                  </w:divBdr>
                  <w:divsChild>
                    <w:div w:id="273289928">
                      <w:marLeft w:val="0"/>
                      <w:marRight w:val="0"/>
                      <w:marTop w:val="0"/>
                      <w:marBottom w:val="0"/>
                      <w:divBdr>
                        <w:top w:val="none" w:sz="0" w:space="0" w:color="auto"/>
                        <w:left w:val="none" w:sz="0" w:space="0" w:color="auto"/>
                        <w:bottom w:val="none" w:sz="0" w:space="0" w:color="auto"/>
                        <w:right w:val="none" w:sz="0" w:space="0" w:color="auto"/>
                      </w:divBdr>
                      <w:divsChild>
                        <w:div w:id="1407075119">
                          <w:marLeft w:val="0"/>
                          <w:marRight w:val="0"/>
                          <w:marTop w:val="0"/>
                          <w:marBottom w:val="0"/>
                          <w:divBdr>
                            <w:top w:val="none" w:sz="0" w:space="0" w:color="EAEAEA"/>
                            <w:left w:val="none" w:sz="0" w:space="0" w:color="EAEAEA"/>
                            <w:bottom w:val="single" w:sz="6" w:space="23" w:color="EAEAEA"/>
                            <w:right w:val="none" w:sz="0" w:space="0" w:color="EAEAEA"/>
                          </w:divBdr>
                          <w:divsChild>
                            <w:div w:id="513570689">
                              <w:marLeft w:val="0"/>
                              <w:marRight w:val="0"/>
                              <w:marTop w:val="0"/>
                              <w:marBottom w:val="0"/>
                              <w:divBdr>
                                <w:top w:val="none" w:sz="0" w:space="0" w:color="auto"/>
                                <w:left w:val="none" w:sz="0" w:space="0" w:color="auto"/>
                                <w:bottom w:val="none" w:sz="0" w:space="0" w:color="auto"/>
                                <w:right w:val="none" w:sz="0" w:space="0" w:color="auto"/>
                              </w:divBdr>
                              <w:divsChild>
                                <w:div w:id="1644504744">
                                  <w:marLeft w:val="0"/>
                                  <w:marRight w:val="0"/>
                                  <w:marTop w:val="0"/>
                                  <w:marBottom w:val="0"/>
                                  <w:divBdr>
                                    <w:top w:val="none" w:sz="0" w:space="0" w:color="auto"/>
                                    <w:left w:val="none" w:sz="0" w:space="0" w:color="auto"/>
                                    <w:bottom w:val="none" w:sz="0" w:space="0" w:color="auto"/>
                                    <w:right w:val="none" w:sz="0" w:space="0" w:color="auto"/>
                                  </w:divBdr>
                                  <w:divsChild>
                                    <w:div w:id="2026008220">
                                      <w:marLeft w:val="0"/>
                                      <w:marRight w:val="0"/>
                                      <w:marTop w:val="0"/>
                                      <w:marBottom w:val="0"/>
                                      <w:divBdr>
                                        <w:top w:val="none" w:sz="0" w:space="0" w:color="auto"/>
                                        <w:left w:val="none" w:sz="0" w:space="0" w:color="auto"/>
                                        <w:bottom w:val="none" w:sz="0" w:space="0" w:color="auto"/>
                                        <w:right w:val="none" w:sz="0" w:space="0" w:color="auto"/>
                                      </w:divBdr>
                                      <w:divsChild>
                                        <w:div w:id="1895386077">
                                          <w:marLeft w:val="0"/>
                                          <w:marRight w:val="0"/>
                                          <w:marTop w:val="0"/>
                                          <w:marBottom w:val="0"/>
                                          <w:divBdr>
                                            <w:top w:val="none" w:sz="0" w:space="0" w:color="auto"/>
                                            <w:left w:val="none" w:sz="0" w:space="0" w:color="auto"/>
                                            <w:bottom w:val="none" w:sz="0" w:space="0" w:color="auto"/>
                                            <w:right w:val="none" w:sz="0" w:space="0" w:color="auto"/>
                                          </w:divBdr>
                                          <w:divsChild>
                                            <w:div w:id="2087191759">
                                              <w:marLeft w:val="0"/>
                                              <w:marRight w:val="0"/>
                                              <w:marTop w:val="0"/>
                                              <w:marBottom w:val="0"/>
                                              <w:divBdr>
                                                <w:top w:val="none" w:sz="0" w:space="0" w:color="auto"/>
                                                <w:left w:val="none" w:sz="0" w:space="0" w:color="auto"/>
                                                <w:bottom w:val="none" w:sz="0" w:space="0" w:color="auto"/>
                                                <w:right w:val="none" w:sz="0" w:space="0" w:color="auto"/>
                                              </w:divBdr>
                                            </w:div>
                                          </w:divsChild>
                                        </w:div>
                                        <w:div w:id="1746149311">
                                          <w:marLeft w:val="0"/>
                                          <w:marRight w:val="0"/>
                                          <w:marTop w:val="0"/>
                                          <w:marBottom w:val="0"/>
                                          <w:divBdr>
                                            <w:top w:val="none" w:sz="0" w:space="0" w:color="auto"/>
                                            <w:left w:val="none" w:sz="0" w:space="0" w:color="auto"/>
                                            <w:bottom w:val="none" w:sz="0" w:space="0" w:color="auto"/>
                                            <w:right w:val="none" w:sz="0" w:space="0" w:color="auto"/>
                                          </w:divBdr>
                                          <w:divsChild>
                                            <w:div w:id="1027831742">
                                              <w:marLeft w:val="0"/>
                                              <w:marRight w:val="0"/>
                                              <w:marTop w:val="0"/>
                                              <w:marBottom w:val="0"/>
                                              <w:divBdr>
                                                <w:top w:val="none" w:sz="0" w:space="0" w:color="auto"/>
                                                <w:left w:val="none" w:sz="0" w:space="0" w:color="auto"/>
                                                <w:bottom w:val="none" w:sz="0" w:space="0" w:color="auto"/>
                                                <w:right w:val="none" w:sz="0" w:space="0" w:color="auto"/>
                                              </w:divBdr>
                                              <w:divsChild>
                                                <w:div w:id="2084646329">
                                                  <w:marLeft w:val="0"/>
                                                  <w:marRight w:val="150"/>
                                                  <w:marTop w:val="60"/>
                                                  <w:marBottom w:val="0"/>
                                                  <w:divBdr>
                                                    <w:top w:val="none" w:sz="0" w:space="0" w:color="auto"/>
                                                    <w:left w:val="none" w:sz="0" w:space="0" w:color="auto"/>
                                                    <w:bottom w:val="none" w:sz="0" w:space="0" w:color="auto"/>
                                                    <w:right w:val="none" w:sz="0" w:space="0" w:color="auto"/>
                                                  </w:divBdr>
                                                  <w:divsChild>
                                                    <w:div w:id="993949504">
                                                      <w:marLeft w:val="0"/>
                                                      <w:marRight w:val="0"/>
                                                      <w:marTop w:val="0"/>
                                                      <w:marBottom w:val="0"/>
                                                      <w:divBdr>
                                                        <w:top w:val="none" w:sz="0" w:space="0" w:color="auto"/>
                                                        <w:left w:val="none" w:sz="0" w:space="0" w:color="auto"/>
                                                        <w:bottom w:val="none" w:sz="0" w:space="0" w:color="auto"/>
                                                        <w:right w:val="none" w:sz="0" w:space="0" w:color="auto"/>
                                                      </w:divBdr>
                                                      <w:divsChild>
                                                        <w:div w:id="1621447440">
                                                          <w:marLeft w:val="0"/>
                                                          <w:marRight w:val="0"/>
                                                          <w:marTop w:val="0"/>
                                                          <w:marBottom w:val="0"/>
                                                          <w:divBdr>
                                                            <w:top w:val="none" w:sz="0" w:space="0" w:color="auto"/>
                                                            <w:left w:val="none" w:sz="0" w:space="0" w:color="auto"/>
                                                            <w:bottom w:val="none" w:sz="0" w:space="0" w:color="auto"/>
                                                            <w:right w:val="none" w:sz="0" w:space="0" w:color="auto"/>
                                                          </w:divBdr>
                                                          <w:divsChild>
                                                            <w:div w:id="17942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31491">
                                                  <w:marLeft w:val="0"/>
                                                  <w:marRight w:val="0"/>
                                                  <w:marTop w:val="0"/>
                                                  <w:marBottom w:val="0"/>
                                                  <w:divBdr>
                                                    <w:top w:val="none" w:sz="0" w:space="0" w:color="auto"/>
                                                    <w:left w:val="none" w:sz="0" w:space="0" w:color="auto"/>
                                                    <w:bottom w:val="none" w:sz="0" w:space="0" w:color="auto"/>
                                                    <w:right w:val="none" w:sz="0" w:space="0" w:color="auto"/>
                                                  </w:divBdr>
                                                  <w:divsChild>
                                                    <w:div w:id="1647053966">
                                                      <w:marLeft w:val="0"/>
                                                      <w:marRight w:val="0"/>
                                                      <w:marTop w:val="0"/>
                                                      <w:marBottom w:val="0"/>
                                                      <w:divBdr>
                                                        <w:top w:val="none" w:sz="0" w:space="0" w:color="auto"/>
                                                        <w:left w:val="none" w:sz="0" w:space="0" w:color="auto"/>
                                                        <w:bottom w:val="none" w:sz="0" w:space="0" w:color="auto"/>
                                                        <w:right w:val="none" w:sz="0" w:space="0" w:color="auto"/>
                                                      </w:divBdr>
                                                      <w:divsChild>
                                                        <w:div w:id="608007262">
                                                          <w:marLeft w:val="0"/>
                                                          <w:marRight w:val="0"/>
                                                          <w:marTop w:val="0"/>
                                                          <w:marBottom w:val="0"/>
                                                          <w:divBdr>
                                                            <w:top w:val="none" w:sz="0" w:space="0" w:color="auto"/>
                                                            <w:left w:val="none" w:sz="0" w:space="0" w:color="auto"/>
                                                            <w:bottom w:val="none" w:sz="0" w:space="0" w:color="auto"/>
                                                            <w:right w:val="none" w:sz="0" w:space="0" w:color="auto"/>
                                                          </w:divBdr>
                                                          <w:divsChild>
                                                            <w:div w:id="943919166">
                                                              <w:marLeft w:val="0"/>
                                                              <w:marRight w:val="0"/>
                                                              <w:marTop w:val="0"/>
                                                              <w:marBottom w:val="75"/>
                                                              <w:divBdr>
                                                                <w:top w:val="none" w:sz="0" w:space="0" w:color="auto"/>
                                                                <w:left w:val="none" w:sz="0" w:space="0" w:color="auto"/>
                                                                <w:bottom w:val="none" w:sz="0" w:space="0" w:color="auto"/>
                                                                <w:right w:val="none" w:sz="0" w:space="0" w:color="auto"/>
                                                              </w:divBdr>
                                                              <w:divsChild>
                                                                <w:div w:id="73747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54933">
                                                      <w:marLeft w:val="0"/>
                                                      <w:marRight w:val="0"/>
                                                      <w:marTop w:val="0"/>
                                                      <w:marBottom w:val="0"/>
                                                      <w:divBdr>
                                                        <w:top w:val="none" w:sz="0" w:space="0" w:color="auto"/>
                                                        <w:left w:val="none" w:sz="0" w:space="0" w:color="auto"/>
                                                        <w:bottom w:val="none" w:sz="0" w:space="0" w:color="auto"/>
                                                        <w:right w:val="none" w:sz="0" w:space="0" w:color="auto"/>
                                                      </w:divBdr>
                                                      <w:divsChild>
                                                        <w:div w:id="873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3995">
                                      <w:marLeft w:val="0"/>
                                      <w:marRight w:val="0"/>
                                      <w:marTop w:val="225"/>
                                      <w:marBottom w:val="0"/>
                                      <w:divBdr>
                                        <w:top w:val="none" w:sz="0" w:space="0" w:color="auto"/>
                                        <w:left w:val="none" w:sz="0" w:space="0" w:color="auto"/>
                                        <w:bottom w:val="none" w:sz="0" w:space="0" w:color="auto"/>
                                        <w:right w:val="none" w:sz="0" w:space="0" w:color="auto"/>
                                      </w:divBdr>
                                      <w:divsChild>
                                        <w:div w:id="1148669889">
                                          <w:marLeft w:val="0"/>
                                          <w:marRight w:val="0"/>
                                          <w:marTop w:val="0"/>
                                          <w:marBottom w:val="90"/>
                                          <w:divBdr>
                                            <w:top w:val="none" w:sz="0" w:space="0" w:color="auto"/>
                                            <w:left w:val="none" w:sz="0" w:space="0" w:color="auto"/>
                                            <w:bottom w:val="none" w:sz="0" w:space="0" w:color="auto"/>
                                            <w:right w:val="none" w:sz="0" w:space="0" w:color="auto"/>
                                          </w:divBdr>
                                          <w:divsChild>
                                            <w:div w:id="2044207435">
                                              <w:marLeft w:val="0"/>
                                              <w:marRight w:val="0"/>
                                              <w:marTop w:val="0"/>
                                              <w:marBottom w:val="0"/>
                                              <w:divBdr>
                                                <w:top w:val="none" w:sz="0" w:space="0" w:color="auto"/>
                                                <w:left w:val="none" w:sz="0" w:space="0" w:color="auto"/>
                                                <w:bottom w:val="none" w:sz="0" w:space="0" w:color="auto"/>
                                                <w:right w:val="none" w:sz="0" w:space="0" w:color="auto"/>
                                              </w:divBdr>
                                              <w:divsChild>
                                                <w:div w:id="1624572818">
                                                  <w:marLeft w:val="0"/>
                                                  <w:marRight w:val="0"/>
                                                  <w:marTop w:val="0"/>
                                                  <w:marBottom w:val="0"/>
                                                  <w:divBdr>
                                                    <w:top w:val="none" w:sz="0" w:space="0" w:color="auto"/>
                                                    <w:left w:val="none" w:sz="0" w:space="0" w:color="auto"/>
                                                    <w:bottom w:val="none" w:sz="0" w:space="0" w:color="auto"/>
                                                    <w:right w:val="none" w:sz="0" w:space="0" w:color="auto"/>
                                                  </w:divBdr>
                                                  <w:divsChild>
                                                    <w:div w:id="139032960">
                                                      <w:marLeft w:val="0"/>
                                                      <w:marRight w:val="0"/>
                                                      <w:marTop w:val="0"/>
                                                      <w:marBottom w:val="0"/>
                                                      <w:divBdr>
                                                        <w:top w:val="none" w:sz="0" w:space="0" w:color="auto"/>
                                                        <w:left w:val="none" w:sz="0" w:space="0" w:color="auto"/>
                                                        <w:bottom w:val="none" w:sz="0" w:space="0" w:color="auto"/>
                                                        <w:right w:val="none" w:sz="0" w:space="0" w:color="auto"/>
                                                      </w:divBdr>
                                                      <w:divsChild>
                                                        <w:div w:id="625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388578">
                              <w:marLeft w:val="0"/>
                              <w:marRight w:val="0"/>
                              <w:marTop w:val="0"/>
                              <w:marBottom w:val="0"/>
                              <w:divBdr>
                                <w:top w:val="none" w:sz="0" w:space="0" w:color="auto"/>
                                <w:left w:val="none" w:sz="0" w:space="0" w:color="auto"/>
                                <w:bottom w:val="none" w:sz="0" w:space="0" w:color="auto"/>
                                <w:right w:val="none" w:sz="0" w:space="0" w:color="auto"/>
                              </w:divBdr>
                              <w:divsChild>
                                <w:div w:id="266011153">
                                  <w:marLeft w:val="0"/>
                                  <w:marRight w:val="0"/>
                                  <w:marTop w:val="0"/>
                                  <w:marBottom w:val="0"/>
                                  <w:divBdr>
                                    <w:top w:val="none" w:sz="0" w:space="0" w:color="auto"/>
                                    <w:left w:val="none" w:sz="0" w:space="0" w:color="auto"/>
                                    <w:bottom w:val="none" w:sz="0" w:space="0" w:color="auto"/>
                                    <w:right w:val="none" w:sz="0" w:space="0" w:color="auto"/>
                                  </w:divBdr>
                                  <w:divsChild>
                                    <w:div w:id="643895728">
                                      <w:marLeft w:val="0"/>
                                      <w:marRight w:val="0"/>
                                      <w:marTop w:val="0"/>
                                      <w:marBottom w:val="0"/>
                                      <w:divBdr>
                                        <w:top w:val="none" w:sz="0" w:space="0" w:color="auto"/>
                                        <w:left w:val="none" w:sz="0" w:space="0" w:color="auto"/>
                                        <w:bottom w:val="none" w:sz="0" w:space="0" w:color="auto"/>
                                        <w:right w:val="none" w:sz="0" w:space="0" w:color="auto"/>
                                      </w:divBdr>
                                      <w:divsChild>
                                        <w:div w:id="1054887555">
                                          <w:marLeft w:val="0"/>
                                          <w:marRight w:val="0"/>
                                          <w:marTop w:val="0"/>
                                          <w:marBottom w:val="0"/>
                                          <w:divBdr>
                                            <w:top w:val="none" w:sz="0" w:space="0" w:color="auto"/>
                                            <w:left w:val="none" w:sz="0" w:space="0" w:color="auto"/>
                                            <w:bottom w:val="none" w:sz="0" w:space="0" w:color="auto"/>
                                            <w:right w:val="none" w:sz="0" w:space="0" w:color="auto"/>
                                          </w:divBdr>
                                          <w:divsChild>
                                            <w:div w:id="122521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3996152">
      <w:bodyDiv w:val="1"/>
      <w:marLeft w:val="0"/>
      <w:marRight w:val="0"/>
      <w:marTop w:val="0"/>
      <w:marBottom w:val="0"/>
      <w:divBdr>
        <w:top w:val="none" w:sz="0" w:space="0" w:color="auto"/>
        <w:left w:val="none" w:sz="0" w:space="0" w:color="auto"/>
        <w:bottom w:val="none" w:sz="0" w:space="0" w:color="auto"/>
        <w:right w:val="none" w:sz="0" w:space="0" w:color="auto"/>
      </w:divBdr>
    </w:div>
    <w:div w:id="725565015">
      <w:bodyDiv w:val="1"/>
      <w:marLeft w:val="0"/>
      <w:marRight w:val="0"/>
      <w:marTop w:val="0"/>
      <w:marBottom w:val="0"/>
      <w:divBdr>
        <w:top w:val="none" w:sz="0" w:space="0" w:color="auto"/>
        <w:left w:val="none" w:sz="0" w:space="0" w:color="auto"/>
        <w:bottom w:val="none" w:sz="0" w:space="0" w:color="auto"/>
        <w:right w:val="none" w:sz="0" w:space="0" w:color="auto"/>
      </w:divBdr>
    </w:div>
    <w:div w:id="869030119">
      <w:bodyDiv w:val="1"/>
      <w:marLeft w:val="0"/>
      <w:marRight w:val="0"/>
      <w:marTop w:val="0"/>
      <w:marBottom w:val="0"/>
      <w:divBdr>
        <w:top w:val="none" w:sz="0" w:space="0" w:color="auto"/>
        <w:left w:val="none" w:sz="0" w:space="0" w:color="auto"/>
        <w:bottom w:val="none" w:sz="0" w:space="0" w:color="auto"/>
        <w:right w:val="none" w:sz="0" w:space="0" w:color="auto"/>
      </w:divBdr>
    </w:div>
    <w:div w:id="874929030">
      <w:bodyDiv w:val="1"/>
      <w:marLeft w:val="0"/>
      <w:marRight w:val="0"/>
      <w:marTop w:val="0"/>
      <w:marBottom w:val="0"/>
      <w:divBdr>
        <w:top w:val="none" w:sz="0" w:space="0" w:color="auto"/>
        <w:left w:val="none" w:sz="0" w:space="0" w:color="auto"/>
        <w:bottom w:val="none" w:sz="0" w:space="0" w:color="auto"/>
        <w:right w:val="none" w:sz="0" w:space="0" w:color="auto"/>
      </w:divBdr>
    </w:div>
    <w:div w:id="898857336">
      <w:bodyDiv w:val="1"/>
      <w:marLeft w:val="0"/>
      <w:marRight w:val="0"/>
      <w:marTop w:val="0"/>
      <w:marBottom w:val="0"/>
      <w:divBdr>
        <w:top w:val="none" w:sz="0" w:space="0" w:color="auto"/>
        <w:left w:val="none" w:sz="0" w:space="0" w:color="auto"/>
        <w:bottom w:val="none" w:sz="0" w:space="0" w:color="auto"/>
        <w:right w:val="none" w:sz="0" w:space="0" w:color="auto"/>
      </w:divBdr>
    </w:div>
    <w:div w:id="1002198617">
      <w:bodyDiv w:val="1"/>
      <w:marLeft w:val="0"/>
      <w:marRight w:val="0"/>
      <w:marTop w:val="0"/>
      <w:marBottom w:val="0"/>
      <w:divBdr>
        <w:top w:val="none" w:sz="0" w:space="0" w:color="auto"/>
        <w:left w:val="none" w:sz="0" w:space="0" w:color="auto"/>
        <w:bottom w:val="none" w:sz="0" w:space="0" w:color="auto"/>
        <w:right w:val="none" w:sz="0" w:space="0" w:color="auto"/>
      </w:divBdr>
    </w:div>
    <w:div w:id="1123574457">
      <w:bodyDiv w:val="1"/>
      <w:marLeft w:val="0"/>
      <w:marRight w:val="0"/>
      <w:marTop w:val="0"/>
      <w:marBottom w:val="0"/>
      <w:divBdr>
        <w:top w:val="none" w:sz="0" w:space="0" w:color="auto"/>
        <w:left w:val="none" w:sz="0" w:space="0" w:color="auto"/>
        <w:bottom w:val="none" w:sz="0" w:space="0" w:color="auto"/>
        <w:right w:val="none" w:sz="0" w:space="0" w:color="auto"/>
      </w:divBdr>
    </w:div>
    <w:div w:id="1147479730">
      <w:bodyDiv w:val="1"/>
      <w:marLeft w:val="0"/>
      <w:marRight w:val="0"/>
      <w:marTop w:val="0"/>
      <w:marBottom w:val="0"/>
      <w:divBdr>
        <w:top w:val="none" w:sz="0" w:space="0" w:color="auto"/>
        <w:left w:val="none" w:sz="0" w:space="0" w:color="auto"/>
        <w:bottom w:val="none" w:sz="0" w:space="0" w:color="auto"/>
        <w:right w:val="none" w:sz="0" w:space="0" w:color="auto"/>
      </w:divBdr>
    </w:div>
    <w:div w:id="1225218418">
      <w:bodyDiv w:val="1"/>
      <w:marLeft w:val="0"/>
      <w:marRight w:val="0"/>
      <w:marTop w:val="0"/>
      <w:marBottom w:val="0"/>
      <w:divBdr>
        <w:top w:val="none" w:sz="0" w:space="0" w:color="auto"/>
        <w:left w:val="none" w:sz="0" w:space="0" w:color="auto"/>
        <w:bottom w:val="none" w:sz="0" w:space="0" w:color="auto"/>
        <w:right w:val="none" w:sz="0" w:space="0" w:color="auto"/>
      </w:divBdr>
    </w:div>
    <w:div w:id="1226838197">
      <w:bodyDiv w:val="1"/>
      <w:marLeft w:val="0"/>
      <w:marRight w:val="0"/>
      <w:marTop w:val="0"/>
      <w:marBottom w:val="0"/>
      <w:divBdr>
        <w:top w:val="none" w:sz="0" w:space="0" w:color="auto"/>
        <w:left w:val="none" w:sz="0" w:space="0" w:color="auto"/>
        <w:bottom w:val="none" w:sz="0" w:space="0" w:color="auto"/>
        <w:right w:val="none" w:sz="0" w:space="0" w:color="auto"/>
      </w:divBdr>
    </w:div>
    <w:div w:id="1371959948">
      <w:bodyDiv w:val="1"/>
      <w:marLeft w:val="0"/>
      <w:marRight w:val="0"/>
      <w:marTop w:val="0"/>
      <w:marBottom w:val="0"/>
      <w:divBdr>
        <w:top w:val="none" w:sz="0" w:space="0" w:color="auto"/>
        <w:left w:val="none" w:sz="0" w:space="0" w:color="auto"/>
        <w:bottom w:val="none" w:sz="0" w:space="0" w:color="auto"/>
        <w:right w:val="none" w:sz="0" w:space="0" w:color="auto"/>
      </w:divBdr>
    </w:div>
    <w:div w:id="1460802987">
      <w:bodyDiv w:val="1"/>
      <w:marLeft w:val="0"/>
      <w:marRight w:val="0"/>
      <w:marTop w:val="0"/>
      <w:marBottom w:val="0"/>
      <w:divBdr>
        <w:top w:val="none" w:sz="0" w:space="0" w:color="auto"/>
        <w:left w:val="none" w:sz="0" w:space="0" w:color="auto"/>
        <w:bottom w:val="none" w:sz="0" w:space="0" w:color="auto"/>
        <w:right w:val="none" w:sz="0" w:space="0" w:color="auto"/>
      </w:divBdr>
    </w:div>
    <w:div w:id="1480608669">
      <w:bodyDiv w:val="1"/>
      <w:marLeft w:val="0"/>
      <w:marRight w:val="0"/>
      <w:marTop w:val="0"/>
      <w:marBottom w:val="0"/>
      <w:divBdr>
        <w:top w:val="none" w:sz="0" w:space="0" w:color="auto"/>
        <w:left w:val="none" w:sz="0" w:space="0" w:color="auto"/>
        <w:bottom w:val="none" w:sz="0" w:space="0" w:color="auto"/>
        <w:right w:val="none" w:sz="0" w:space="0" w:color="auto"/>
      </w:divBdr>
      <w:divsChild>
        <w:div w:id="175852461">
          <w:marLeft w:val="0"/>
          <w:marRight w:val="0"/>
          <w:marTop w:val="0"/>
          <w:marBottom w:val="0"/>
          <w:divBdr>
            <w:top w:val="none" w:sz="0" w:space="0" w:color="auto"/>
            <w:left w:val="none" w:sz="0" w:space="0" w:color="auto"/>
            <w:bottom w:val="none" w:sz="0" w:space="0" w:color="auto"/>
            <w:right w:val="none" w:sz="0" w:space="0" w:color="auto"/>
          </w:divBdr>
          <w:divsChild>
            <w:div w:id="1272278958">
              <w:marLeft w:val="0"/>
              <w:marRight w:val="0"/>
              <w:marTop w:val="0"/>
              <w:marBottom w:val="0"/>
              <w:divBdr>
                <w:top w:val="none" w:sz="0" w:space="0" w:color="auto"/>
                <w:left w:val="none" w:sz="0" w:space="0" w:color="auto"/>
                <w:bottom w:val="none" w:sz="0" w:space="0" w:color="auto"/>
                <w:right w:val="none" w:sz="0" w:space="0" w:color="auto"/>
              </w:divBdr>
              <w:divsChild>
                <w:div w:id="13774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927887">
      <w:bodyDiv w:val="1"/>
      <w:marLeft w:val="0"/>
      <w:marRight w:val="0"/>
      <w:marTop w:val="0"/>
      <w:marBottom w:val="0"/>
      <w:divBdr>
        <w:top w:val="none" w:sz="0" w:space="0" w:color="auto"/>
        <w:left w:val="none" w:sz="0" w:space="0" w:color="auto"/>
        <w:bottom w:val="none" w:sz="0" w:space="0" w:color="auto"/>
        <w:right w:val="none" w:sz="0" w:space="0" w:color="auto"/>
      </w:divBdr>
    </w:div>
    <w:div w:id="1714041157">
      <w:bodyDiv w:val="1"/>
      <w:marLeft w:val="0"/>
      <w:marRight w:val="0"/>
      <w:marTop w:val="0"/>
      <w:marBottom w:val="0"/>
      <w:divBdr>
        <w:top w:val="none" w:sz="0" w:space="0" w:color="auto"/>
        <w:left w:val="none" w:sz="0" w:space="0" w:color="auto"/>
        <w:bottom w:val="none" w:sz="0" w:space="0" w:color="auto"/>
        <w:right w:val="none" w:sz="0" w:space="0" w:color="auto"/>
      </w:divBdr>
    </w:div>
    <w:div w:id="1785466818">
      <w:bodyDiv w:val="1"/>
      <w:marLeft w:val="0"/>
      <w:marRight w:val="0"/>
      <w:marTop w:val="0"/>
      <w:marBottom w:val="0"/>
      <w:divBdr>
        <w:top w:val="none" w:sz="0" w:space="0" w:color="auto"/>
        <w:left w:val="none" w:sz="0" w:space="0" w:color="auto"/>
        <w:bottom w:val="none" w:sz="0" w:space="0" w:color="auto"/>
        <w:right w:val="none" w:sz="0" w:space="0" w:color="auto"/>
      </w:divBdr>
    </w:div>
    <w:div w:id="1826192958">
      <w:bodyDiv w:val="1"/>
      <w:marLeft w:val="0"/>
      <w:marRight w:val="0"/>
      <w:marTop w:val="0"/>
      <w:marBottom w:val="0"/>
      <w:divBdr>
        <w:top w:val="none" w:sz="0" w:space="0" w:color="auto"/>
        <w:left w:val="none" w:sz="0" w:space="0" w:color="auto"/>
        <w:bottom w:val="none" w:sz="0" w:space="0" w:color="auto"/>
        <w:right w:val="none" w:sz="0" w:space="0" w:color="auto"/>
      </w:divBdr>
    </w:div>
    <w:div w:id="1917322123">
      <w:bodyDiv w:val="1"/>
      <w:marLeft w:val="0"/>
      <w:marRight w:val="0"/>
      <w:marTop w:val="0"/>
      <w:marBottom w:val="0"/>
      <w:divBdr>
        <w:top w:val="none" w:sz="0" w:space="0" w:color="auto"/>
        <w:left w:val="none" w:sz="0" w:space="0" w:color="auto"/>
        <w:bottom w:val="none" w:sz="0" w:space="0" w:color="auto"/>
        <w:right w:val="none" w:sz="0" w:space="0" w:color="auto"/>
      </w:divBdr>
    </w:div>
    <w:div w:id="1921744530">
      <w:bodyDiv w:val="1"/>
      <w:marLeft w:val="0"/>
      <w:marRight w:val="0"/>
      <w:marTop w:val="0"/>
      <w:marBottom w:val="0"/>
      <w:divBdr>
        <w:top w:val="none" w:sz="0" w:space="0" w:color="auto"/>
        <w:left w:val="none" w:sz="0" w:space="0" w:color="auto"/>
        <w:bottom w:val="none" w:sz="0" w:space="0" w:color="auto"/>
        <w:right w:val="none" w:sz="0" w:space="0" w:color="auto"/>
      </w:divBdr>
    </w:div>
    <w:div w:id="1990547654">
      <w:bodyDiv w:val="1"/>
      <w:marLeft w:val="0"/>
      <w:marRight w:val="0"/>
      <w:marTop w:val="0"/>
      <w:marBottom w:val="0"/>
      <w:divBdr>
        <w:top w:val="none" w:sz="0" w:space="0" w:color="auto"/>
        <w:left w:val="none" w:sz="0" w:space="0" w:color="auto"/>
        <w:bottom w:val="none" w:sz="0" w:space="0" w:color="auto"/>
        <w:right w:val="none" w:sz="0" w:space="0" w:color="auto"/>
      </w:divBdr>
    </w:div>
    <w:div w:id="2001888919">
      <w:bodyDiv w:val="1"/>
      <w:marLeft w:val="0"/>
      <w:marRight w:val="0"/>
      <w:marTop w:val="0"/>
      <w:marBottom w:val="0"/>
      <w:divBdr>
        <w:top w:val="none" w:sz="0" w:space="0" w:color="auto"/>
        <w:left w:val="none" w:sz="0" w:space="0" w:color="auto"/>
        <w:bottom w:val="none" w:sz="0" w:space="0" w:color="auto"/>
        <w:right w:val="none" w:sz="0" w:space="0" w:color="auto"/>
      </w:divBdr>
      <w:divsChild>
        <w:div w:id="1837764332">
          <w:marLeft w:val="0"/>
          <w:marRight w:val="0"/>
          <w:marTop w:val="0"/>
          <w:marBottom w:val="0"/>
          <w:divBdr>
            <w:top w:val="none" w:sz="0" w:space="0" w:color="auto"/>
            <w:left w:val="none" w:sz="0" w:space="0" w:color="auto"/>
            <w:bottom w:val="none" w:sz="0" w:space="0" w:color="auto"/>
            <w:right w:val="none" w:sz="0" w:space="0" w:color="auto"/>
          </w:divBdr>
          <w:divsChild>
            <w:div w:id="674694557">
              <w:marLeft w:val="0"/>
              <w:marRight w:val="0"/>
              <w:marTop w:val="0"/>
              <w:marBottom w:val="0"/>
              <w:divBdr>
                <w:top w:val="none" w:sz="0" w:space="0" w:color="auto"/>
                <w:left w:val="none" w:sz="0" w:space="0" w:color="auto"/>
                <w:bottom w:val="none" w:sz="0" w:space="0" w:color="auto"/>
                <w:right w:val="none" w:sz="0" w:space="0" w:color="auto"/>
              </w:divBdr>
              <w:divsChild>
                <w:div w:id="257520462">
                  <w:marLeft w:val="0"/>
                  <w:marRight w:val="0"/>
                  <w:marTop w:val="0"/>
                  <w:marBottom w:val="0"/>
                  <w:divBdr>
                    <w:top w:val="none" w:sz="0" w:space="0" w:color="auto"/>
                    <w:left w:val="none" w:sz="0" w:space="0" w:color="auto"/>
                    <w:bottom w:val="none" w:sz="0" w:space="0" w:color="auto"/>
                    <w:right w:val="none" w:sz="0" w:space="0" w:color="auto"/>
                  </w:divBdr>
                  <w:divsChild>
                    <w:div w:id="66501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31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ortal.tcu.gov.b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05F1C-2B19-4480-BF43-0EA88E241104}">
  <ds:schemaRefs>
    <ds:schemaRef ds:uri="http://schemas.openxmlformats.org/officeDocument/2006/bibliography"/>
  </ds:schemaRefs>
</ds:datastoreItem>
</file>

<file path=customXml/itemProps2.xml><?xml version="1.0" encoding="utf-8"?>
<ds:datastoreItem xmlns:ds="http://schemas.openxmlformats.org/officeDocument/2006/customXml" ds:itemID="{D0923E91-6D39-4B0C-90D6-A205528FB5DB}">
  <ds:schemaRefs>
    <ds:schemaRef ds:uri="http://schemas.openxmlformats.org/officeDocument/2006/bibliography"/>
  </ds:schemaRefs>
</ds:datastoreItem>
</file>

<file path=customXml/itemProps3.xml><?xml version="1.0" encoding="utf-8"?>
<ds:datastoreItem xmlns:ds="http://schemas.openxmlformats.org/officeDocument/2006/customXml" ds:itemID="{3BB41338-A232-4891-9C23-7BCEF65BBFA0}">
  <ds:schemaRefs>
    <ds:schemaRef ds:uri="http://schemas.openxmlformats.org/officeDocument/2006/bibliography"/>
  </ds:schemaRefs>
</ds:datastoreItem>
</file>

<file path=customXml/itemProps4.xml><?xml version="1.0" encoding="utf-8"?>
<ds:datastoreItem xmlns:ds="http://schemas.openxmlformats.org/officeDocument/2006/customXml" ds:itemID="{8542FA9D-E7DA-4D98-819C-201EAEF1037D}">
  <ds:schemaRefs>
    <ds:schemaRef ds:uri="http://schemas.openxmlformats.org/officeDocument/2006/bibliography"/>
  </ds:schemaRefs>
</ds:datastoreItem>
</file>

<file path=customXml/itemProps5.xml><?xml version="1.0" encoding="utf-8"?>
<ds:datastoreItem xmlns:ds="http://schemas.openxmlformats.org/officeDocument/2006/customXml" ds:itemID="{3A0A47AC-0019-4C52-9606-1171EB6B7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19</Pages>
  <Words>6296</Words>
  <Characters>35891</Characters>
  <Application>Microsoft Office Word</Application>
  <DocSecurity>0</DocSecurity>
  <Lines>299</Lines>
  <Paragraphs>84</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Krokoz™</Company>
  <LinksUpToDate>false</LinksUpToDate>
  <CharactersWithSpaces>42103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Цыплакова</dc:creator>
  <dc:description>relu et corrigé par Isabelle Cannas</dc:description>
  <cp:lastModifiedBy>Глебов А.А.</cp:lastModifiedBy>
  <cp:revision>18</cp:revision>
  <cp:lastPrinted>2018-09-26T13:45:00Z</cp:lastPrinted>
  <dcterms:created xsi:type="dcterms:W3CDTF">2018-09-26T09:15:00Z</dcterms:created>
  <dcterms:modified xsi:type="dcterms:W3CDTF">2018-10-17T07:18:00Z</dcterms:modified>
</cp:coreProperties>
</file>